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9CBD7">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3240232">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2486723E">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5C49820C">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p>
    <w:p w14:paraId="795B041F">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微软简老宋" w:hAnsi="微软简老宋" w:eastAsia="微软简老宋" w:cs="微软简老宋"/>
          <w:b/>
          <w:bCs/>
          <w:color w:val="0000FF"/>
          <w:sz w:val="84"/>
          <w:szCs w:val="84"/>
          <w:lang w:eastAsia="zh-CN"/>
          <w14:textFill>
            <w14:gradFill>
              <w14:gsLst>
                <w14:gs w14:pos="0">
                  <w14:srgbClr w14:val="D9717D"/>
                </w14:gs>
                <w14:gs w14:pos="100000">
                  <w14:srgbClr w14:val="E32E37"/>
                </w14:gs>
              </w14:gsLst>
              <w14:lin w14:scaled="1"/>
            </w14:gradFill>
          </w14:textFill>
        </w:rPr>
        <w:t>《网络综合布线》</w:t>
      </w:r>
    </w:p>
    <w:p w14:paraId="0F9BF8F8">
      <w:pPr>
        <w:keepNext/>
        <w:keepLines/>
        <w:spacing w:before="260" w:after="260" w:line="416" w:lineRule="atLeast"/>
        <w:jc w:val="center"/>
        <w:outlineLvl w:val="1"/>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Times New Roman" w:hAnsi="Times New Roman"/>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2F5D069C">
      <w:pPr>
        <w:rPr>
          <w:rFonts w:hint="eastAsia" w:ascii="黑体" w:hAnsi="黑体" w:eastAsia="黑体" w:cs="黑体"/>
          <w:b/>
          <w:bCs/>
          <w:color w:val="000000" w:themeColor="text1"/>
          <w:sz w:val="40"/>
          <w:szCs w:val="40"/>
          <w:lang w:eastAsia="zh-CN"/>
          <w14:textFill>
            <w14:solidFill>
              <w14:schemeClr w14:val="tx1"/>
            </w14:solidFill>
          </w14:textFill>
        </w:rPr>
      </w:pPr>
    </w:p>
    <w:p w14:paraId="41ABC07F">
      <w:pPr>
        <w:rPr>
          <w:rFonts w:hint="eastAsia" w:ascii="黑体" w:hAnsi="黑体" w:eastAsia="黑体" w:cs="黑体"/>
          <w:b/>
          <w:bCs/>
          <w:color w:val="000000" w:themeColor="text1"/>
          <w:sz w:val="40"/>
          <w:szCs w:val="40"/>
          <w:lang w:eastAsia="zh-CN"/>
          <w14:textFill>
            <w14:solidFill>
              <w14:schemeClr w14:val="tx1"/>
            </w14:solidFill>
          </w14:textFill>
        </w:rPr>
      </w:pPr>
    </w:p>
    <w:p w14:paraId="3E4D788E">
      <w:pPr>
        <w:rPr>
          <w:rFonts w:hint="eastAsia" w:ascii="黑体" w:hAnsi="黑体" w:eastAsia="黑体" w:cs="黑体"/>
          <w:b/>
          <w:bCs/>
          <w:color w:val="000000" w:themeColor="text1"/>
          <w:sz w:val="40"/>
          <w:szCs w:val="40"/>
          <w:lang w:eastAsia="zh-CN"/>
          <w14:textFill>
            <w14:solidFill>
              <w14:schemeClr w14:val="tx1"/>
            </w14:solidFill>
          </w14:textFill>
        </w:rPr>
      </w:pPr>
    </w:p>
    <w:p w14:paraId="6D644B0F">
      <w:pPr>
        <w:rPr>
          <w:rFonts w:hint="eastAsia" w:ascii="黑体" w:hAnsi="黑体" w:eastAsia="黑体" w:cs="黑体"/>
          <w:b/>
          <w:bCs/>
          <w:color w:val="000000" w:themeColor="text1"/>
          <w:sz w:val="40"/>
          <w:szCs w:val="40"/>
          <w:lang w:eastAsia="zh-CN"/>
          <w14:textFill>
            <w14:solidFill>
              <w14:schemeClr w14:val="tx1"/>
            </w14:solidFill>
          </w14:textFill>
        </w:rPr>
      </w:pPr>
    </w:p>
    <w:p w14:paraId="0526765B">
      <w:pPr>
        <w:rPr>
          <w:rFonts w:hint="eastAsia" w:ascii="黑体" w:hAnsi="黑体" w:eastAsia="黑体" w:cs="黑体"/>
          <w:b/>
          <w:bCs/>
          <w:color w:val="000000" w:themeColor="text1"/>
          <w:sz w:val="24"/>
          <w:szCs w:val="24"/>
          <w:lang w:eastAsia="zh-CN"/>
          <w14:textFill>
            <w14:solidFill>
              <w14:schemeClr w14:val="tx1"/>
            </w14:solidFill>
          </w14:textFill>
        </w:rPr>
      </w:pPr>
    </w:p>
    <w:p w14:paraId="5E112E26">
      <w:pPr>
        <w:rPr>
          <w:rFonts w:hint="eastAsia" w:ascii="黑体" w:hAnsi="黑体" w:eastAsia="黑体" w:cs="黑体"/>
          <w:b/>
          <w:bCs/>
          <w:color w:val="000000" w:themeColor="text1"/>
          <w:sz w:val="24"/>
          <w:szCs w:val="24"/>
          <w:lang w:eastAsia="zh-CN"/>
          <w14:textFill>
            <w14:solidFill>
              <w14:schemeClr w14:val="tx1"/>
            </w14:solidFill>
          </w14:textFill>
        </w:rPr>
      </w:pPr>
    </w:p>
    <w:p w14:paraId="3D5AD149">
      <w:pPr>
        <w:rPr>
          <w:rFonts w:hint="eastAsia" w:ascii="黑体" w:hAnsi="黑体" w:eastAsia="黑体" w:cs="黑体"/>
          <w:b/>
          <w:bCs/>
          <w:color w:val="000000" w:themeColor="text1"/>
          <w:sz w:val="24"/>
          <w:szCs w:val="24"/>
          <w:lang w:eastAsia="zh-CN"/>
          <w14:textFill>
            <w14:solidFill>
              <w14:schemeClr w14:val="tx1"/>
            </w14:solidFill>
          </w14:textFill>
        </w:rPr>
      </w:pPr>
    </w:p>
    <w:p w14:paraId="21445851">
      <w:pPr>
        <w:rPr>
          <w:rFonts w:hint="eastAsia" w:ascii="黑体" w:hAnsi="黑体" w:eastAsia="黑体" w:cs="黑体"/>
          <w:b/>
          <w:bCs/>
          <w:color w:val="000000" w:themeColor="text1"/>
          <w:sz w:val="24"/>
          <w:szCs w:val="24"/>
          <w:lang w:eastAsia="zh-CN"/>
          <w14:textFill>
            <w14:solidFill>
              <w14:schemeClr w14:val="tx1"/>
            </w14:solidFill>
          </w14:textFill>
        </w:rPr>
      </w:pPr>
    </w:p>
    <w:p w14:paraId="19332964">
      <w:pPr>
        <w:rPr>
          <w:rFonts w:hint="eastAsia" w:ascii="黑体" w:hAnsi="黑体" w:eastAsia="黑体" w:cs="黑体"/>
          <w:b/>
          <w:bCs/>
          <w:color w:val="000000" w:themeColor="text1"/>
          <w:sz w:val="24"/>
          <w:szCs w:val="24"/>
          <w:lang w:eastAsia="zh-CN"/>
          <w14:textFill>
            <w14:solidFill>
              <w14:schemeClr w14:val="tx1"/>
            </w14:solidFill>
          </w14:textFill>
        </w:rPr>
      </w:pPr>
    </w:p>
    <w:p w14:paraId="16A81527">
      <w:pPr>
        <w:rPr>
          <w:rFonts w:hint="eastAsia" w:ascii="黑体" w:hAnsi="黑体" w:eastAsia="黑体" w:cs="黑体"/>
          <w:b/>
          <w:bCs/>
          <w:color w:val="000000" w:themeColor="text1"/>
          <w:sz w:val="24"/>
          <w:szCs w:val="24"/>
          <w:lang w:eastAsia="zh-CN"/>
          <w14:textFill>
            <w14:solidFill>
              <w14:schemeClr w14:val="tx1"/>
            </w14:solidFill>
          </w14:textFill>
        </w:rPr>
      </w:pPr>
    </w:p>
    <w:p w14:paraId="77CB6C94">
      <w:pPr>
        <w:rPr>
          <w:rFonts w:hint="eastAsia" w:ascii="黑体" w:hAnsi="黑体" w:eastAsia="黑体" w:cs="黑体"/>
          <w:b/>
          <w:bCs/>
          <w:color w:val="000000" w:themeColor="text1"/>
          <w:sz w:val="24"/>
          <w:szCs w:val="24"/>
          <w:lang w:eastAsia="zh-CN"/>
          <w14:textFill>
            <w14:solidFill>
              <w14:schemeClr w14:val="tx1"/>
            </w14:solidFill>
          </w14:textFill>
        </w:rPr>
      </w:pPr>
    </w:p>
    <w:p w14:paraId="0AE2B49E">
      <w:pPr>
        <w:rPr>
          <w:rFonts w:hint="eastAsia" w:ascii="黑体" w:hAnsi="黑体" w:eastAsia="黑体" w:cs="黑体"/>
          <w:b/>
          <w:bCs/>
          <w:color w:val="000000" w:themeColor="text1"/>
          <w:sz w:val="24"/>
          <w:szCs w:val="24"/>
          <w:lang w:eastAsia="zh-CN"/>
          <w14:textFill>
            <w14:solidFill>
              <w14:schemeClr w14:val="tx1"/>
            </w14:solidFill>
          </w14:textFill>
        </w:rPr>
      </w:pPr>
    </w:p>
    <w:p w14:paraId="7B380CC4">
      <w:pPr>
        <w:rPr>
          <w:rFonts w:hint="eastAsia" w:ascii="黑体" w:hAnsi="黑体" w:eastAsia="黑体" w:cs="黑体"/>
          <w:b/>
          <w:bCs/>
          <w:color w:val="000000" w:themeColor="text1"/>
          <w:sz w:val="24"/>
          <w:szCs w:val="24"/>
          <w:lang w:eastAsia="zh-CN"/>
          <w14:textFill>
            <w14:solidFill>
              <w14:schemeClr w14:val="tx1"/>
            </w14:solidFill>
          </w14:textFill>
        </w:rPr>
      </w:pPr>
    </w:p>
    <w:p w14:paraId="791FC2AE">
      <w:pPr>
        <w:rPr>
          <w:rFonts w:hint="eastAsia" w:ascii="黑体" w:hAnsi="黑体" w:eastAsia="黑体" w:cs="黑体"/>
          <w:b/>
          <w:bCs/>
          <w:color w:val="000000" w:themeColor="text1"/>
          <w:sz w:val="24"/>
          <w:szCs w:val="24"/>
          <w:lang w:eastAsia="zh-CN"/>
          <w14:textFill>
            <w14:solidFill>
              <w14:schemeClr w14:val="tx1"/>
            </w14:solidFill>
          </w14:textFill>
        </w:rPr>
      </w:pPr>
    </w:p>
    <w:p w14:paraId="03A9812A">
      <w:pPr>
        <w:rPr>
          <w:rFonts w:hint="eastAsia" w:ascii="黑体" w:hAnsi="黑体" w:eastAsia="黑体" w:cs="黑体"/>
          <w:b/>
          <w:bCs/>
          <w:color w:val="000000" w:themeColor="text1"/>
          <w:sz w:val="24"/>
          <w:szCs w:val="24"/>
          <w:lang w:eastAsia="zh-CN"/>
          <w14:textFill>
            <w14:solidFill>
              <w14:schemeClr w14:val="tx1"/>
            </w14:solidFill>
          </w14:textFill>
        </w:rPr>
      </w:pPr>
    </w:p>
    <w:p w14:paraId="768EBC92">
      <w:pPr>
        <w:rPr>
          <w:rFonts w:hint="eastAsia" w:ascii="黑体" w:hAnsi="黑体" w:eastAsia="黑体" w:cs="黑体"/>
          <w:b/>
          <w:bCs/>
          <w:color w:val="000000" w:themeColor="text1"/>
          <w:sz w:val="24"/>
          <w:szCs w:val="24"/>
          <w:lang w:eastAsia="zh-CN"/>
          <w14:textFill>
            <w14:solidFill>
              <w14:schemeClr w14:val="tx1"/>
            </w14:solidFill>
          </w14:textFill>
        </w:rPr>
      </w:pPr>
    </w:p>
    <w:p w14:paraId="54412BA7">
      <w:pPr>
        <w:rPr>
          <w:rFonts w:hint="eastAsia" w:ascii="黑体" w:hAnsi="黑体" w:eastAsia="黑体" w:cs="黑体"/>
          <w:b/>
          <w:bCs/>
          <w:color w:val="000000" w:themeColor="text1"/>
          <w:sz w:val="24"/>
          <w:szCs w:val="24"/>
          <w:lang w:eastAsia="zh-CN"/>
          <w14:textFill>
            <w14:solidFill>
              <w14:schemeClr w14:val="tx1"/>
            </w14:solidFill>
          </w14:textFill>
        </w:rPr>
      </w:pPr>
    </w:p>
    <w:p w14:paraId="188532D1">
      <w:pPr>
        <w:rPr>
          <w:rFonts w:hint="eastAsia" w:ascii="黑体" w:hAnsi="黑体" w:eastAsia="黑体" w:cs="黑体"/>
          <w:b/>
          <w:bCs/>
          <w:color w:val="000000" w:themeColor="text1"/>
          <w:sz w:val="24"/>
          <w:szCs w:val="24"/>
          <w:lang w:eastAsia="zh-CN"/>
          <w14:textFill>
            <w14:solidFill>
              <w14:schemeClr w14:val="tx1"/>
            </w14:solidFill>
          </w14:textFill>
        </w:rPr>
      </w:pPr>
    </w:p>
    <w:p w14:paraId="10A1E427">
      <w:pPr>
        <w:rPr>
          <w:rFonts w:hint="eastAsia" w:ascii="黑体" w:hAnsi="黑体" w:eastAsia="黑体" w:cs="黑体"/>
          <w:b/>
          <w:bCs/>
          <w:color w:val="000000" w:themeColor="text1"/>
          <w:sz w:val="24"/>
          <w:szCs w:val="24"/>
          <w:lang w:eastAsia="zh-CN"/>
          <w14:textFill>
            <w14:solidFill>
              <w14:schemeClr w14:val="tx1"/>
            </w14:solidFill>
          </w14:textFill>
        </w:rPr>
      </w:pPr>
    </w:p>
    <w:p w14:paraId="5A6A62A1">
      <w:pPr>
        <w:jc w:val="center"/>
        <w:rPr>
          <w:rFonts w:hint="default" w:ascii="黑体" w:hAnsi="黑体" w:eastAsia="黑体" w:cs="黑体"/>
          <w:b/>
          <w:bCs/>
          <w:color w:val="000000" w:themeColor="text1"/>
          <w:sz w:val="30"/>
          <w:szCs w:val="30"/>
          <w:lang w:val="en-US" w:eastAsia="zh-CN"/>
          <w14:textFill>
            <w14:solidFill>
              <w14:schemeClr w14:val="tx1"/>
            </w14:solidFill>
          </w14:textFill>
        </w:rPr>
      </w:pPr>
      <w:r>
        <w:rPr>
          <w:rFonts w:hint="eastAsia" w:ascii="黑体" w:hAnsi="黑体" w:eastAsia="黑体" w:cs="黑体"/>
          <w:b/>
          <w:bCs/>
          <w:color w:val="000000" w:themeColor="text1"/>
          <w:sz w:val="30"/>
          <w:szCs w:val="30"/>
          <w:lang w:val="en-US" w:eastAsia="zh-CN"/>
          <w14:textFill>
            <w14:solidFill>
              <w14:schemeClr w14:val="tx1"/>
            </w14:solidFill>
          </w14:textFill>
        </w:rPr>
        <w:t>北京出版社</w:t>
      </w:r>
    </w:p>
    <w:p w14:paraId="0A16501F">
      <w:pPr>
        <w:jc w:val="center"/>
        <w:rPr>
          <w:rFonts w:hint="eastAsia" w:ascii="黑体" w:hAnsi="黑体" w:eastAsia="黑体" w:cs="黑体"/>
          <w:b/>
          <w:bCs/>
          <w:color w:val="000000" w:themeColor="text1"/>
          <w:sz w:val="24"/>
          <w:szCs w:val="24"/>
          <w:lang w:eastAsia="zh-CN"/>
          <w14:textFill>
            <w14:solidFill>
              <w14:schemeClr w14:val="tx1"/>
            </w14:solidFill>
          </w14:textFill>
        </w:rPr>
      </w:pPr>
    </w:p>
    <w:p w14:paraId="275803F9">
      <w:pPr>
        <w:jc w:val="center"/>
        <w:rPr>
          <w:rFonts w:hint="eastAsia" w:ascii="黑体" w:hAnsi="黑体" w:eastAsia="黑体" w:cs="黑体"/>
          <w:b/>
          <w:bCs/>
          <w:color w:val="000000" w:themeColor="text1"/>
          <w:sz w:val="40"/>
          <w:szCs w:val="40"/>
          <w:lang w:eastAsia="zh-CN"/>
          <w14:textFill>
            <w14:solidFill>
              <w14:schemeClr w14:val="tx1"/>
            </w14:solidFill>
          </w14:textFill>
        </w:rPr>
      </w:pPr>
      <w:r>
        <w:rPr>
          <w:rFonts w:hint="eastAsia" w:ascii="黑体" w:hAnsi="黑体" w:eastAsia="黑体" w:cs="黑体"/>
          <w:b/>
          <w:bCs/>
          <w:color w:val="000000" w:themeColor="text1"/>
          <w:sz w:val="40"/>
          <w:szCs w:val="40"/>
          <w:lang w:eastAsia="zh-CN"/>
          <w14:textFill>
            <w14:solidFill>
              <w14:schemeClr w14:val="tx1"/>
            </w14:solidFill>
          </w14:textFill>
        </w:rPr>
        <w:br w:type="page"/>
      </w:r>
    </w:p>
    <w:p w14:paraId="6A59F5C2">
      <w:pPr>
        <w:keepNext/>
        <w:keepLines/>
        <w:spacing w:before="260" w:after="260" w:line="416" w:lineRule="atLeast"/>
        <w:jc w:val="center"/>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cs="黑体"/>
          <w:b/>
          <w:bCs/>
          <w:color w:val="000000" w:themeColor="text1"/>
          <w:sz w:val="40"/>
          <w:szCs w:val="40"/>
          <w:lang w:eastAsia="zh-CN"/>
          <w14:textFill>
            <w14:solidFill>
              <w14:schemeClr w14:val="tx1"/>
            </w14:solidFill>
          </w14:textFill>
        </w:rPr>
        <w:t>课时分配表</w:t>
      </w:r>
    </w:p>
    <w:tbl>
      <w:tblPr>
        <w:tblStyle w:val="11"/>
        <w:tblW w:w="10205" w:type="dxa"/>
        <w:jc w:val="center"/>
        <w:tblBorders>
          <w:top w:val="double" w:color="00B0F0" w:sz="4" w:space="0"/>
          <w:left w:val="double" w:color="00B0F0" w:sz="4" w:space="0"/>
          <w:bottom w:val="double" w:color="00B0F0" w:sz="4" w:space="0"/>
          <w:right w:val="double" w:color="00B0F0" w:sz="4" w:space="0"/>
          <w:insideH w:val="single" w:color="00B0F0" w:sz="8" w:space="0"/>
          <w:insideV w:val="single" w:color="00B0F0" w:sz="8" w:space="0"/>
        </w:tblBorders>
        <w:tblLayout w:type="autofit"/>
        <w:tblCellMar>
          <w:top w:w="0" w:type="dxa"/>
          <w:left w:w="108" w:type="dxa"/>
          <w:bottom w:w="0" w:type="dxa"/>
          <w:right w:w="108" w:type="dxa"/>
        </w:tblCellMar>
      </w:tblPr>
      <w:tblGrid>
        <w:gridCol w:w="1176"/>
        <w:gridCol w:w="5269"/>
        <w:gridCol w:w="1735"/>
        <w:gridCol w:w="2025"/>
      </w:tblGrid>
      <w:tr w14:paraId="3BBFC893">
        <w:trPr>
          <w:trHeight w:val="1134" w:hRule="atLeast"/>
          <w:jc w:val="center"/>
        </w:trPr>
        <w:tc>
          <w:tcPr>
            <w:tcW w:w="1176" w:type="dxa"/>
            <w:tcBorders>
              <w:tl2br w:val="nil"/>
              <w:tr2bl w:val="nil"/>
            </w:tcBorders>
            <w:shd w:val="clear" w:color="auto" w:fill="65E1FF"/>
            <w:vAlign w:val="center"/>
          </w:tcPr>
          <w:p w14:paraId="1085850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val="en-US" w:eastAsia="zh-CN"/>
              </w:rPr>
              <w:t>项目</w:t>
            </w:r>
          </w:p>
        </w:tc>
        <w:tc>
          <w:tcPr>
            <w:tcW w:w="5269" w:type="dxa"/>
            <w:tcBorders>
              <w:tl2br w:val="nil"/>
              <w:tr2bl w:val="nil"/>
            </w:tcBorders>
            <w:shd w:val="clear" w:color="auto" w:fill="65E1FF"/>
            <w:vAlign w:val="center"/>
          </w:tcPr>
          <w:p w14:paraId="3CF7D3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65E1FF"/>
            <w:vAlign w:val="center"/>
          </w:tcPr>
          <w:p w14:paraId="7C22EC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65E1FF"/>
            <w:vAlign w:val="center"/>
          </w:tcPr>
          <w:p w14:paraId="0B0466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1BCE2F07">
        <w:trPr>
          <w:trHeight w:val="1134" w:hRule="atLeast"/>
          <w:jc w:val="center"/>
        </w:trPr>
        <w:tc>
          <w:tcPr>
            <w:tcW w:w="1176" w:type="dxa"/>
            <w:tcBorders>
              <w:tl2br w:val="nil"/>
              <w:tr2bl w:val="nil"/>
            </w:tcBorders>
            <w:shd w:val="clear" w:color="auto" w:fill="FFFFFF"/>
            <w:vAlign w:val="center"/>
          </w:tcPr>
          <w:p w14:paraId="66A105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099A2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网络综合布线基础</w:t>
            </w:r>
          </w:p>
        </w:tc>
        <w:tc>
          <w:tcPr>
            <w:tcW w:w="1735" w:type="dxa"/>
            <w:tcBorders>
              <w:tl2br w:val="nil"/>
              <w:tr2bl w:val="nil"/>
            </w:tcBorders>
            <w:shd w:val="clear" w:color="auto" w:fill="FFFFFF"/>
            <w:vAlign w:val="center"/>
          </w:tcPr>
          <w:p w14:paraId="2E7448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1CB8B0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DDFA854">
        <w:trPr>
          <w:trHeight w:val="1134" w:hRule="atLeast"/>
          <w:jc w:val="center"/>
        </w:trPr>
        <w:tc>
          <w:tcPr>
            <w:tcW w:w="1176" w:type="dxa"/>
            <w:tcBorders>
              <w:tl2br w:val="nil"/>
              <w:tr2bl w:val="nil"/>
            </w:tcBorders>
            <w:shd w:val="clear" w:color="auto" w:fill="FFFFFF"/>
            <w:vAlign w:val="center"/>
          </w:tcPr>
          <w:p w14:paraId="51CC61F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18D6774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网络拓扑图的规划与设计</w:t>
            </w:r>
          </w:p>
        </w:tc>
        <w:tc>
          <w:tcPr>
            <w:tcW w:w="1735" w:type="dxa"/>
            <w:tcBorders>
              <w:tl2br w:val="nil"/>
              <w:tr2bl w:val="nil"/>
            </w:tcBorders>
            <w:shd w:val="clear" w:color="auto" w:fill="FFFFFF"/>
            <w:vAlign w:val="center"/>
          </w:tcPr>
          <w:p w14:paraId="6588AD2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center"/>
          </w:tcPr>
          <w:p w14:paraId="02A1F8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F09FA81">
        <w:trPr>
          <w:trHeight w:val="1134" w:hRule="atLeast"/>
          <w:jc w:val="center"/>
        </w:trPr>
        <w:tc>
          <w:tcPr>
            <w:tcW w:w="1176" w:type="dxa"/>
            <w:tcBorders>
              <w:tl2br w:val="nil"/>
              <w:tr2bl w:val="nil"/>
            </w:tcBorders>
            <w:shd w:val="clear" w:color="auto" w:fill="FFFFFF"/>
            <w:vAlign w:val="center"/>
          </w:tcPr>
          <w:p w14:paraId="7730AFF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229EC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网络综合布线工程设计</w:t>
            </w:r>
          </w:p>
        </w:tc>
        <w:tc>
          <w:tcPr>
            <w:tcW w:w="1735" w:type="dxa"/>
            <w:tcBorders>
              <w:tl2br w:val="nil"/>
              <w:tr2bl w:val="nil"/>
            </w:tcBorders>
            <w:shd w:val="clear" w:color="auto" w:fill="FFFFFF"/>
            <w:vAlign w:val="center"/>
          </w:tcPr>
          <w:p w14:paraId="0A9287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FEBD9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A1502D">
        <w:trPr>
          <w:trHeight w:val="1134" w:hRule="atLeast"/>
          <w:jc w:val="center"/>
        </w:trPr>
        <w:tc>
          <w:tcPr>
            <w:tcW w:w="1176" w:type="dxa"/>
            <w:tcBorders>
              <w:tl2br w:val="nil"/>
              <w:tr2bl w:val="nil"/>
            </w:tcBorders>
            <w:shd w:val="clear" w:color="auto" w:fill="FFFFFF"/>
            <w:vAlign w:val="center"/>
          </w:tcPr>
          <w:p w14:paraId="1B253F2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787D4A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网络综合布线工程安装施工技术</w:t>
            </w:r>
          </w:p>
        </w:tc>
        <w:tc>
          <w:tcPr>
            <w:tcW w:w="1735" w:type="dxa"/>
            <w:tcBorders>
              <w:tl2br w:val="nil"/>
              <w:tr2bl w:val="nil"/>
            </w:tcBorders>
            <w:shd w:val="clear" w:color="auto" w:fill="FFFFFF"/>
            <w:vAlign w:val="center"/>
          </w:tcPr>
          <w:p w14:paraId="716DC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2025" w:type="dxa"/>
            <w:tcBorders>
              <w:tl2br w:val="nil"/>
              <w:tr2bl w:val="nil"/>
            </w:tcBorders>
            <w:shd w:val="clear" w:color="auto" w:fill="FFFFFF"/>
            <w:vAlign w:val="center"/>
          </w:tcPr>
          <w:p w14:paraId="38278F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1D5763F6">
        <w:trPr>
          <w:trHeight w:val="1134" w:hRule="atLeast"/>
          <w:jc w:val="center"/>
        </w:trPr>
        <w:tc>
          <w:tcPr>
            <w:tcW w:w="1176" w:type="dxa"/>
            <w:tcBorders>
              <w:tl2br w:val="nil"/>
              <w:tr2bl w:val="nil"/>
            </w:tcBorders>
            <w:shd w:val="clear" w:color="auto" w:fill="FFFFFF"/>
            <w:vAlign w:val="center"/>
          </w:tcPr>
          <w:p w14:paraId="54FC5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BFDE9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配线端接技术</w:t>
            </w:r>
          </w:p>
        </w:tc>
        <w:tc>
          <w:tcPr>
            <w:tcW w:w="1735" w:type="dxa"/>
            <w:tcBorders>
              <w:tl2br w:val="nil"/>
              <w:tr2bl w:val="nil"/>
            </w:tcBorders>
            <w:shd w:val="clear" w:color="auto" w:fill="FFFFFF"/>
            <w:vAlign w:val="center"/>
          </w:tcPr>
          <w:p w14:paraId="65D42A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7BADB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4FFB23">
        <w:trPr>
          <w:trHeight w:val="1134" w:hRule="atLeast"/>
          <w:jc w:val="center"/>
        </w:trPr>
        <w:tc>
          <w:tcPr>
            <w:tcW w:w="1176" w:type="dxa"/>
            <w:tcBorders>
              <w:tl2br w:val="nil"/>
              <w:tr2bl w:val="nil"/>
            </w:tcBorders>
            <w:shd w:val="clear" w:color="auto" w:fill="FFFFFF"/>
            <w:vAlign w:val="center"/>
          </w:tcPr>
          <w:p w14:paraId="7419F61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center"/>
          </w:tcPr>
          <w:p w14:paraId="7A885BB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网络综合布线工程管理与测试验收</w:t>
            </w:r>
          </w:p>
        </w:tc>
        <w:tc>
          <w:tcPr>
            <w:tcW w:w="1735" w:type="dxa"/>
            <w:tcBorders>
              <w:tl2br w:val="nil"/>
              <w:tr2bl w:val="nil"/>
            </w:tcBorders>
            <w:shd w:val="clear" w:color="auto" w:fill="FFFFFF"/>
            <w:vAlign w:val="center"/>
          </w:tcPr>
          <w:p w14:paraId="3848B3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center"/>
          </w:tcPr>
          <w:p w14:paraId="11AFAC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F7AE1F2">
        <w:trPr>
          <w:trHeight w:val="1134" w:hRule="atLeast"/>
          <w:jc w:val="center"/>
        </w:trPr>
        <w:tc>
          <w:tcPr>
            <w:tcW w:w="1176" w:type="dxa"/>
            <w:tcBorders>
              <w:tl2br w:val="nil"/>
              <w:tr2bl w:val="nil"/>
            </w:tcBorders>
            <w:shd w:val="clear" w:color="auto" w:fill="FFFFFF"/>
            <w:vAlign w:val="center"/>
          </w:tcPr>
          <w:p w14:paraId="687831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00D40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0EA18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36</w:t>
            </w:r>
          </w:p>
        </w:tc>
        <w:tc>
          <w:tcPr>
            <w:tcW w:w="2025" w:type="dxa"/>
            <w:tcBorders>
              <w:tl2br w:val="nil"/>
              <w:tr2bl w:val="nil"/>
            </w:tcBorders>
            <w:shd w:val="clear" w:color="auto" w:fill="FFFFFF"/>
            <w:vAlign w:val="center"/>
          </w:tcPr>
          <w:p w14:paraId="0595E6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6F381B7D">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49BD3B7B">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36B65A62">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830123E">
      <w:pPr>
        <w:keepNext/>
        <w:keepLines/>
        <w:spacing w:before="260" w:after="260" w:line="416" w:lineRule="atLeast"/>
        <w:jc w:val="left"/>
        <w:outlineLvl w:val="1"/>
        <w:rPr>
          <w:rFonts w:hint="eastAsia" w:ascii="Times New Roman" w:hAnsi="Times New Roman"/>
          <w:b/>
          <w:bCs/>
          <w:color w:val="0000FF"/>
          <w:sz w:val="28"/>
          <w:szCs w:val="28"/>
          <w:lang w:eastAsia="zh-CN"/>
          <w14:textFill>
            <w14:gradFill>
              <w14:gsLst>
                <w14:gs w14:pos="0">
                  <w14:srgbClr w14:val="D9717D"/>
                </w14:gs>
                <w14:gs w14:pos="100000">
                  <w14:srgbClr w14:val="E32E37"/>
                </w14:gs>
              </w14:gsLst>
              <w14:lin w14:scaled="1"/>
            </w14:gradFill>
          </w14:textFill>
        </w:rPr>
      </w:pPr>
    </w:p>
    <w:p w14:paraId="7E1FBE73">
      <w:pPr>
        <w:keepNext/>
        <w:keepLines/>
        <w:spacing w:before="260" w:after="260" w:line="416" w:lineRule="atLeast"/>
        <w:jc w:val="both"/>
        <w:outlineLvl w:val="1"/>
        <w:rPr>
          <w:rFonts w:hint="eastAsia" w:ascii="Times New Roman" w:hAnsi="Times New Roman"/>
          <w:b/>
          <w:bCs/>
          <w:sz w:val="28"/>
          <w:szCs w:val="28"/>
          <w:lang w:eastAsia="zh-CN"/>
        </w:rPr>
      </w:pPr>
    </w:p>
    <w:p w14:paraId="6A6604C4">
      <w:pPr>
        <w:keepNext/>
        <w:keepLines/>
        <w:spacing w:before="260" w:after="260" w:line="416" w:lineRule="atLeast"/>
        <w:jc w:val="both"/>
        <w:outlineLvl w:val="1"/>
        <w:rPr>
          <w:rFonts w:hint="eastAsia" w:ascii="Times New Roman" w:hAnsi="Times New Roman"/>
          <w:b/>
          <w:bCs/>
          <w:sz w:val="28"/>
          <w:szCs w:val="28"/>
          <w:lang w:eastAsia="zh-CN"/>
        </w:rPr>
      </w:pPr>
    </w:p>
    <w:p w14:paraId="757D64A0">
      <w:pPr>
        <w:pStyle w:val="2"/>
        <w:bidi w:val="0"/>
        <w:jc w:val="center"/>
      </w:pPr>
      <w:r>
        <w:rPr>
          <w:rFonts w:hint="eastAsia"/>
          <w:lang w:val="en-US" w:eastAsia="zh-CN"/>
        </w:rPr>
        <w:t>单元六　网络综合布线工程管理与测试验收</w:t>
      </w:r>
    </w:p>
    <w:tbl>
      <w:tblPr>
        <w:tblStyle w:val="10"/>
        <w:tblW w:w="10205" w:type="dxa"/>
        <w:jc w:val="center"/>
        <w:tblBorders>
          <w:top w:val="single" w:color="0070C0" w:sz="4" w:space="0"/>
          <w:left w:val="single" w:color="0070C0" w:sz="4" w:space="0"/>
          <w:bottom w:val="single" w:color="0070C0" w:sz="4" w:space="0"/>
          <w:right w:val="single" w:color="0070C0" w:sz="4" w:space="0"/>
          <w:insideH w:val="single" w:color="0070C0" w:sz="4" w:space="0"/>
          <w:insideV w:val="single" w:color="0070C0" w:sz="4" w:space="0"/>
        </w:tblBorders>
        <w:tblLayout w:type="fixed"/>
        <w:tblCellMar>
          <w:top w:w="0" w:type="dxa"/>
          <w:left w:w="108" w:type="dxa"/>
          <w:bottom w:w="0" w:type="dxa"/>
          <w:right w:w="108" w:type="dxa"/>
        </w:tblCellMar>
      </w:tblPr>
      <w:tblGrid>
        <w:gridCol w:w="1541"/>
        <w:gridCol w:w="8664"/>
      </w:tblGrid>
      <w:tr w14:paraId="622C71E5">
        <w:trPr>
          <w:trHeight w:val="680" w:hRule="atLeast"/>
          <w:jc w:val="center"/>
        </w:trPr>
        <w:tc>
          <w:tcPr>
            <w:tcW w:w="1541" w:type="dxa"/>
            <w:tcBorders>
              <w:tl2br w:val="nil"/>
              <w:tr2bl w:val="nil"/>
            </w:tcBorders>
            <w:shd w:val="clear" w:color="auto" w:fill="D7F8FF"/>
            <w:vAlign w:val="center"/>
          </w:tcPr>
          <w:p w14:paraId="2DDD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default" w:ascii="Times New Roman" w:hAnsi="Times New Roman"/>
                <w:b/>
                <w:sz w:val="24"/>
                <w:szCs w:val="24"/>
              </w:rPr>
              <w:t xml:space="preserve">  </w:t>
            </w:r>
            <w:r>
              <w:rPr>
                <w:rFonts w:hint="eastAsia" w:ascii="Times New Roman" w:hAnsi="Times New Roman"/>
                <w:b/>
                <w:sz w:val="24"/>
                <w:szCs w:val="24"/>
              </w:rPr>
              <w:t>题</w:t>
            </w:r>
          </w:p>
        </w:tc>
        <w:tc>
          <w:tcPr>
            <w:tcW w:w="8664" w:type="dxa"/>
            <w:tcBorders>
              <w:tl2br w:val="nil"/>
              <w:tr2bl w:val="nil"/>
            </w:tcBorders>
            <w:vAlign w:val="center"/>
          </w:tcPr>
          <w:p w14:paraId="3D21EB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宋体"/>
                <w:sz w:val="24"/>
                <w:szCs w:val="24"/>
              </w:rPr>
              <w:t>网络综合布线工程管理与测试验收</w:t>
            </w:r>
          </w:p>
        </w:tc>
      </w:tr>
      <w:tr w14:paraId="554923A1">
        <w:trPr>
          <w:trHeight w:val="680" w:hRule="atLeast"/>
          <w:jc w:val="center"/>
        </w:trPr>
        <w:tc>
          <w:tcPr>
            <w:tcW w:w="1541" w:type="dxa"/>
            <w:tcBorders>
              <w:tl2br w:val="nil"/>
              <w:tr2bl w:val="nil"/>
            </w:tcBorders>
            <w:shd w:val="clear" w:color="auto" w:fill="D7F8FF"/>
            <w:vAlign w:val="center"/>
          </w:tcPr>
          <w:p w14:paraId="2AA7F3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课</w:t>
            </w:r>
            <w:r>
              <w:rPr>
                <w:rFonts w:hint="eastAsia" w:ascii="Times New Roman" w:hAnsi="宋体"/>
                <w:b/>
                <w:sz w:val="24"/>
                <w:szCs w:val="24"/>
              </w:rPr>
              <w:t xml:space="preserve"> </w:t>
            </w:r>
            <w:r>
              <w:rPr>
                <w:rFonts w:hint="default" w:ascii="Times New Roman" w:hAnsi="宋体"/>
                <w:b/>
                <w:sz w:val="24"/>
                <w:szCs w:val="24"/>
              </w:rPr>
              <w:t xml:space="preserve"> 时</w:t>
            </w:r>
          </w:p>
        </w:tc>
        <w:tc>
          <w:tcPr>
            <w:tcW w:w="8664" w:type="dxa"/>
            <w:tcBorders>
              <w:tl2br w:val="nil"/>
              <w:tr2bl w:val="nil"/>
            </w:tcBorders>
            <w:vAlign w:val="center"/>
          </w:tcPr>
          <w:p w14:paraId="65DFA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sz w:val="24"/>
                <w:szCs w:val="24"/>
              </w:rPr>
            </w:pPr>
            <w:r>
              <w:rPr>
                <w:rFonts w:hint="eastAsia" w:ascii="Times New Roman" w:hAnsi="Times New Roman"/>
                <w:sz w:val="24"/>
                <w:szCs w:val="24"/>
                <w:lang w:val="en-US" w:eastAsia="zh-CN"/>
              </w:rPr>
              <w:t>3</w:t>
            </w:r>
            <w:r>
              <w:rPr>
                <w:rFonts w:hint="default" w:ascii="Times New Roman" w:hAnsi="宋体"/>
                <w:sz w:val="24"/>
                <w:szCs w:val="24"/>
              </w:rPr>
              <w:t>课时</w:t>
            </w:r>
          </w:p>
        </w:tc>
      </w:tr>
      <w:tr w14:paraId="60113D37">
        <w:trPr>
          <w:trHeight w:val="680" w:hRule="atLeast"/>
          <w:jc w:val="center"/>
        </w:trPr>
        <w:tc>
          <w:tcPr>
            <w:tcW w:w="1541" w:type="dxa"/>
            <w:tcBorders>
              <w:tl2br w:val="nil"/>
              <w:tr2bl w:val="nil"/>
            </w:tcBorders>
            <w:shd w:val="clear" w:color="auto" w:fill="D7F8FF"/>
            <w:vAlign w:val="center"/>
          </w:tcPr>
          <w:p w14:paraId="0A8CE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教学目标</w:t>
            </w:r>
          </w:p>
        </w:tc>
        <w:tc>
          <w:tcPr>
            <w:tcW w:w="8664" w:type="dxa"/>
            <w:tcBorders>
              <w:tl2br w:val="nil"/>
              <w:tr2bl w:val="nil"/>
            </w:tcBorders>
            <w:vAlign w:val="center"/>
          </w:tcPr>
          <w:p w14:paraId="61031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34DD53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1.理解综合布线系统施工管理的基本流程。</w:t>
            </w:r>
          </w:p>
          <w:p w14:paraId="542DBE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2.能掌握光纤测试技术，完成基本的光纤测试。</w:t>
            </w:r>
          </w:p>
          <w:p w14:paraId="3E6F8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3.</w:t>
            </w:r>
            <w:r>
              <w:rPr>
                <w:rFonts w:hint="eastAsia" w:asciiTheme="minorEastAsia" w:hAnsiTheme="minorEastAsia" w:eastAsiaTheme="minorEastAsia" w:cstheme="minorEastAsia"/>
                <w:b w:val="0"/>
                <w:bCs/>
                <w:sz w:val="24"/>
                <w:szCs w:val="24"/>
              </w:rPr>
              <w:t>掌握现场物理验收的内容。</w:t>
            </w:r>
          </w:p>
          <w:p w14:paraId="491E31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0E6BC5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default" w:ascii="Times New Roman" w:hAnsi="Times New Roman"/>
                <w:sz w:val="24"/>
                <w:szCs w:val="24"/>
              </w:rPr>
            </w:pPr>
            <w:r>
              <w:rPr>
                <w:rFonts w:hint="eastAsia" w:asciiTheme="minorEastAsia" w:hAnsiTheme="minorEastAsia" w:eastAsiaTheme="minorEastAsia" w:cstheme="minorEastAsia"/>
                <w:i w:val="0"/>
                <w:iCs w:val="0"/>
                <w:caps w:val="0"/>
                <w:color w:val="333333"/>
                <w:spacing w:val="0"/>
                <w:sz w:val="24"/>
                <w:szCs w:val="24"/>
                <w:shd w:val="clear" w:fill="FFFFFF"/>
              </w:rPr>
              <w:t>通过学习网络综合布线工程管理与测试验收，能严格遵守项目安全制度，敬畏职责，敬畏规章，树立安全作业意识。</w:t>
            </w:r>
          </w:p>
        </w:tc>
      </w:tr>
      <w:tr w14:paraId="65D3600D">
        <w:trPr>
          <w:trHeight w:val="680" w:hRule="atLeast"/>
          <w:jc w:val="center"/>
        </w:trPr>
        <w:tc>
          <w:tcPr>
            <w:tcW w:w="1541" w:type="dxa"/>
            <w:tcBorders>
              <w:tl2br w:val="nil"/>
              <w:tr2bl w:val="nil"/>
            </w:tcBorders>
            <w:shd w:val="clear" w:color="auto" w:fill="D7F8FF"/>
            <w:vAlign w:val="center"/>
          </w:tcPr>
          <w:p w14:paraId="3C0CD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664" w:type="dxa"/>
            <w:tcBorders>
              <w:tl2br w:val="nil"/>
              <w:tr2bl w:val="nil"/>
            </w:tcBorders>
            <w:vAlign w:val="center"/>
          </w:tcPr>
          <w:p w14:paraId="25F12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heme="minorEastAsia" w:hAnsiTheme="minorEastAsia" w:eastAsiaTheme="minorEastAsia" w:cstheme="minorEastAsia"/>
                <w:b w:val="0"/>
                <w:bCs/>
                <w:sz w:val="24"/>
                <w:szCs w:val="24"/>
                <w:lang w:eastAsia="zh-CN"/>
              </w:rPr>
            </w:pPr>
            <w:r>
              <w:rPr>
                <w:rFonts w:hint="eastAsia" w:ascii="Times New Roman" w:hAnsi="Times New Roman"/>
                <w:b/>
                <w:color w:val="00B0F0"/>
                <w:sz w:val="24"/>
                <w:szCs w:val="24"/>
              </w:rPr>
              <w:t>教学重点：</w:t>
            </w:r>
            <w:r>
              <w:rPr>
                <w:rFonts w:hint="eastAsia" w:asciiTheme="minorEastAsia" w:hAnsiTheme="minorEastAsia" w:eastAsiaTheme="minorEastAsia" w:cstheme="minorEastAsia"/>
                <w:b w:val="0"/>
                <w:bCs/>
                <w:sz w:val="24"/>
                <w:szCs w:val="24"/>
              </w:rPr>
              <w:t>编写网络综合布线工程管理相关制度</w:t>
            </w:r>
            <w:r>
              <w:rPr>
                <w:rFonts w:hint="eastAsia" w:asciiTheme="minorEastAsia" w:hAnsiTheme="minorEastAsia" w:eastAsiaTheme="minorEastAsia" w:cstheme="minorEastAsia"/>
                <w:b w:val="0"/>
                <w:bCs/>
                <w:sz w:val="24"/>
                <w:szCs w:val="24"/>
                <w:lang w:eastAsia="zh-CN"/>
              </w:rPr>
              <w:t>、网络综合布线工程的测试。</w:t>
            </w:r>
          </w:p>
          <w:p w14:paraId="02F02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eastAsia" w:ascii="Times New Roman" w:hAnsi="Times New Roman" w:eastAsiaTheme="minorEastAsia"/>
                <w:sz w:val="24"/>
                <w:szCs w:val="24"/>
                <w:lang w:eastAsia="zh-CN"/>
              </w:rPr>
            </w:pPr>
            <w:r>
              <w:rPr>
                <w:rFonts w:hint="eastAsia" w:ascii="Times New Roman" w:hAnsi="Times New Roman"/>
                <w:b/>
                <w:color w:val="00B0F0"/>
                <w:sz w:val="24"/>
                <w:szCs w:val="24"/>
              </w:rPr>
              <w:t>教学难点：</w:t>
            </w:r>
            <w:r>
              <w:rPr>
                <w:rFonts w:hint="eastAsia" w:asciiTheme="minorEastAsia" w:hAnsiTheme="minorEastAsia" w:eastAsiaTheme="minorEastAsia" w:cstheme="minorEastAsia"/>
                <w:i w:val="0"/>
                <w:iCs w:val="0"/>
                <w:caps w:val="0"/>
                <w:color w:val="333333"/>
                <w:spacing w:val="0"/>
                <w:sz w:val="24"/>
                <w:szCs w:val="24"/>
                <w:shd w:val="clear" w:fill="FFFFFF"/>
              </w:rPr>
              <w:t>网络综合布线工程的验收</w:t>
            </w:r>
            <w:r>
              <w:rPr>
                <w:rFonts w:hint="eastAsia" w:asciiTheme="minorEastAsia" w:hAnsiTheme="minorEastAsia" w:eastAsiaTheme="minorEastAsia" w:cstheme="minorEastAsia"/>
                <w:i w:val="0"/>
                <w:iCs w:val="0"/>
                <w:caps w:val="0"/>
                <w:color w:val="333333"/>
                <w:spacing w:val="0"/>
                <w:sz w:val="24"/>
                <w:szCs w:val="24"/>
                <w:shd w:val="clear" w:fill="FFFFFF"/>
                <w:lang w:eastAsia="zh-CN"/>
              </w:rPr>
              <w:t>。</w:t>
            </w:r>
          </w:p>
        </w:tc>
      </w:tr>
      <w:tr w14:paraId="21BA100B">
        <w:trPr>
          <w:trHeight w:val="680" w:hRule="atLeast"/>
          <w:jc w:val="center"/>
        </w:trPr>
        <w:tc>
          <w:tcPr>
            <w:tcW w:w="1541" w:type="dxa"/>
            <w:tcBorders>
              <w:tl2br w:val="nil"/>
              <w:tr2bl w:val="nil"/>
            </w:tcBorders>
            <w:shd w:val="clear" w:color="auto" w:fill="D7F8FF"/>
            <w:vAlign w:val="center"/>
          </w:tcPr>
          <w:p w14:paraId="62E1B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教学方法</w:t>
            </w:r>
          </w:p>
        </w:tc>
        <w:tc>
          <w:tcPr>
            <w:tcW w:w="8664" w:type="dxa"/>
            <w:tcBorders>
              <w:tl2br w:val="nil"/>
              <w:tr2bl w:val="nil"/>
            </w:tcBorders>
            <w:vAlign w:val="center"/>
          </w:tcPr>
          <w:p w14:paraId="1B60E0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讲授法、问答法、讨论法</w:t>
            </w:r>
            <w:r>
              <w:rPr>
                <w:rFonts w:hint="eastAsia" w:ascii="Times New Roman" w:hAnsi="宋体"/>
                <w:sz w:val="24"/>
                <w:szCs w:val="24"/>
                <w:lang w:eastAsia="zh-CN"/>
              </w:rPr>
              <w:t>、</w:t>
            </w:r>
            <w:r>
              <w:rPr>
                <w:rFonts w:hint="eastAsia" w:ascii="Times New Roman" w:hAnsi="宋体"/>
                <w:sz w:val="24"/>
                <w:szCs w:val="24"/>
                <w:lang w:val="en-US" w:eastAsia="zh-CN"/>
              </w:rPr>
              <w:t>实物演示法。</w:t>
            </w:r>
          </w:p>
        </w:tc>
      </w:tr>
      <w:tr w14:paraId="34C9B240">
        <w:trPr>
          <w:trHeight w:val="680" w:hRule="atLeast"/>
          <w:jc w:val="center"/>
        </w:trPr>
        <w:tc>
          <w:tcPr>
            <w:tcW w:w="1541" w:type="dxa"/>
            <w:tcBorders>
              <w:tl2br w:val="nil"/>
              <w:tr2bl w:val="nil"/>
            </w:tcBorders>
            <w:shd w:val="clear" w:color="auto" w:fill="D7F8FF"/>
            <w:vAlign w:val="center"/>
          </w:tcPr>
          <w:p w14:paraId="25DF0B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hanging="8"/>
              <w:jc w:val="center"/>
              <w:textAlignment w:val="auto"/>
              <w:rPr>
                <w:rFonts w:hint="default" w:ascii="Times New Roman" w:hAnsi="Times New Roman"/>
                <w:b/>
                <w:sz w:val="24"/>
                <w:szCs w:val="24"/>
              </w:rPr>
            </w:pPr>
            <w:r>
              <w:rPr>
                <w:rFonts w:hint="default" w:ascii="Times New Roman" w:hAnsi="宋体"/>
                <w:b/>
                <w:sz w:val="24"/>
                <w:szCs w:val="24"/>
              </w:rPr>
              <w:t>教学用具</w:t>
            </w:r>
          </w:p>
        </w:tc>
        <w:tc>
          <w:tcPr>
            <w:tcW w:w="8664" w:type="dxa"/>
            <w:tcBorders>
              <w:tl2br w:val="nil"/>
              <w:tr2bl w:val="nil"/>
            </w:tcBorders>
            <w:vAlign w:val="center"/>
          </w:tcPr>
          <w:p w14:paraId="0BDAF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hanging="8"/>
              <w:textAlignment w:val="auto"/>
              <w:rPr>
                <w:rFonts w:hint="default" w:ascii="Times New Roman" w:hAnsi="Times New Roman" w:eastAsia="宋体"/>
                <w:sz w:val="24"/>
                <w:szCs w:val="24"/>
                <w:lang w:val="en-US" w:eastAsia="zh-CN"/>
              </w:rPr>
            </w:pPr>
            <w:r>
              <w:rPr>
                <w:rFonts w:hint="eastAsia" w:ascii="Times New Roman" w:hAnsi="宋体"/>
                <w:sz w:val="24"/>
                <w:szCs w:val="24"/>
              </w:rPr>
              <w:t>电脑</w:t>
            </w:r>
            <w:r>
              <w:rPr>
                <w:rFonts w:hint="eastAsia" w:ascii="Times New Roman" w:hAnsi="宋体"/>
                <w:sz w:val="24"/>
                <w:szCs w:val="24"/>
                <w:lang w:eastAsia="zh-CN"/>
              </w:rPr>
              <w:t>；</w:t>
            </w:r>
            <w:r>
              <w:rPr>
                <w:rFonts w:hint="eastAsia" w:ascii="Times New Roman" w:hAnsi="宋体"/>
                <w:sz w:val="24"/>
                <w:szCs w:val="24"/>
              </w:rPr>
              <w:t>投影仪</w:t>
            </w:r>
            <w:r>
              <w:rPr>
                <w:rFonts w:hint="eastAsia" w:ascii="Times New Roman" w:hAnsi="宋体"/>
                <w:sz w:val="24"/>
                <w:szCs w:val="24"/>
                <w:lang w:eastAsia="zh-CN"/>
              </w:rPr>
              <w:t>；</w:t>
            </w:r>
            <w:r>
              <w:rPr>
                <w:rFonts w:hint="default" w:ascii="Times New Roman" w:hAnsi="宋体"/>
                <w:sz w:val="24"/>
                <w:szCs w:val="24"/>
              </w:rPr>
              <w:t>多媒体</w:t>
            </w:r>
            <w:r>
              <w:rPr>
                <w:rFonts w:hint="eastAsia" w:ascii="Times New Roman" w:hAnsi="宋体"/>
                <w:sz w:val="24"/>
                <w:szCs w:val="24"/>
              </w:rPr>
              <w:t>课件</w:t>
            </w:r>
            <w:r>
              <w:rPr>
                <w:rFonts w:hint="eastAsia" w:ascii="Times New Roman" w:hAnsi="宋体"/>
                <w:sz w:val="24"/>
                <w:szCs w:val="24"/>
                <w:lang w:eastAsia="zh-CN"/>
              </w:rPr>
              <w:t>；</w:t>
            </w:r>
            <w:r>
              <w:rPr>
                <w:rFonts w:hint="eastAsia" w:ascii="Times New Roman" w:hAnsi="宋体"/>
                <w:sz w:val="24"/>
                <w:szCs w:val="24"/>
              </w:rPr>
              <w:t>教材</w:t>
            </w:r>
            <w:r>
              <w:rPr>
                <w:rFonts w:hint="eastAsia" w:ascii="Times New Roman" w:hAnsi="宋体"/>
                <w:sz w:val="24"/>
                <w:szCs w:val="24"/>
                <w:lang w:eastAsia="zh-CN"/>
              </w:rPr>
              <w:t>；</w:t>
            </w:r>
            <w:r>
              <w:rPr>
                <w:rFonts w:hint="eastAsia" w:ascii="Times New Roman" w:hAnsi="宋体"/>
                <w:sz w:val="24"/>
                <w:szCs w:val="24"/>
                <w:lang w:val="en-US" w:eastAsia="zh-CN"/>
              </w:rPr>
              <w:t>双绞线、水晶头、网线测试仪等实物。</w:t>
            </w:r>
          </w:p>
        </w:tc>
      </w:tr>
      <w:tr w14:paraId="3D1A2434">
        <w:trPr>
          <w:trHeight w:val="680" w:hRule="atLeast"/>
          <w:jc w:val="center"/>
        </w:trPr>
        <w:tc>
          <w:tcPr>
            <w:tcW w:w="1541" w:type="dxa"/>
            <w:tcBorders>
              <w:tl2br w:val="nil"/>
              <w:tr2bl w:val="nil"/>
            </w:tcBorders>
            <w:shd w:val="clear" w:color="auto" w:fill="D7F8FF"/>
            <w:vAlign w:val="center"/>
          </w:tcPr>
          <w:p w14:paraId="09032055">
            <w:pPr>
              <w:keepNext w:val="0"/>
              <w:keepLines w:val="0"/>
              <w:suppressLineNumbers w:val="0"/>
              <w:spacing w:before="0" w:beforeAutospacing="0" w:after="0" w:afterAutospacing="0" w:line="24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8664" w:type="dxa"/>
            <w:tcBorders>
              <w:tl2br w:val="nil"/>
              <w:tr2bl w:val="nil"/>
            </w:tcBorders>
            <w:vAlign w:val="center"/>
          </w:tcPr>
          <w:p w14:paraId="6DADD870">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第1～</w:t>
            </w:r>
            <w:r>
              <w:rPr>
                <w:rFonts w:hint="eastAsia" w:ascii="Times New Roman" w:hAnsi="宋体"/>
                <w:kern w:val="0"/>
                <w:sz w:val="24"/>
                <w:szCs w:val="24"/>
                <w:lang w:val="en-US" w:eastAsia="zh-CN"/>
              </w:rPr>
              <w:t>3</w:t>
            </w:r>
            <w:r>
              <w:rPr>
                <w:rFonts w:hint="eastAsia" w:ascii="Times New Roman" w:hAnsi="宋体"/>
                <w:kern w:val="0"/>
                <w:sz w:val="24"/>
                <w:szCs w:val="24"/>
              </w:rPr>
              <w:t>节课</w:t>
            </w:r>
          </w:p>
          <w:p w14:paraId="42BC6148">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·‌考勤‌（2分钟）</w:t>
            </w:r>
          </w:p>
          <w:p w14:paraId="71A3449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·清点人数，记录考勤。</w:t>
            </w:r>
          </w:p>
          <w:p w14:paraId="749013DB">
            <w:pPr>
              <w:keepNext w:val="0"/>
              <w:keepLines w:val="0"/>
              <w:suppressLineNumbers w:val="0"/>
              <w:spacing w:before="0" w:beforeAutospacing="0" w:after="0" w:afterAutospacing="0" w:line="360" w:lineRule="auto"/>
              <w:ind w:left="210" w:leftChars="100" w:right="0" w:firstLine="230" w:firstLineChars="96"/>
              <w:rPr>
                <w:rFonts w:hint="eastAsia" w:ascii="Times New Roman" w:hAnsi="宋体"/>
                <w:kern w:val="0"/>
                <w:sz w:val="24"/>
                <w:szCs w:val="24"/>
              </w:rPr>
            </w:pPr>
            <w:r>
              <w:rPr>
                <w:rFonts w:hint="eastAsia" w:ascii="Times New Roman" w:hAnsi="宋体"/>
                <w:kern w:val="0"/>
                <w:sz w:val="24"/>
                <w:szCs w:val="24"/>
              </w:rPr>
              <w:t>·设计意图：培养学生的组织纪律性。</w:t>
            </w:r>
          </w:p>
          <w:p w14:paraId="71D8E884">
            <w:pPr>
              <w:keepNext w:val="0"/>
              <w:keepLines w:val="0"/>
              <w:suppressLineNumbers w:val="0"/>
              <w:spacing w:before="0" w:beforeAutospacing="0" w:after="0" w:afterAutospacing="0" w:line="360" w:lineRule="auto"/>
              <w:ind w:left="0" w:right="0" w:hanging="8"/>
              <w:rPr>
                <w:rFonts w:hint="eastAsia" w:ascii="Times New Roman" w:hAnsi="宋体"/>
                <w:kern w:val="0"/>
                <w:sz w:val="24"/>
                <w:szCs w:val="24"/>
              </w:rPr>
            </w:pPr>
            <w:r>
              <w:rPr>
                <w:rFonts w:hint="eastAsia" w:ascii="Times New Roman" w:hAnsi="宋体"/>
                <w:kern w:val="0"/>
                <w:sz w:val="24"/>
                <w:szCs w:val="24"/>
              </w:rPr>
              <w:t>·‌知识讲解‌（每节40分钟</w:t>
            </w:r>
            <w:r>
              <w:rPr>
                <w:rFonts w:hint="eastAsia" w:ascii="Times New Roman" w:hAnsi="宋体"/>
                <w:kern w:val="0"/>
                <w:sz w:val="24"/>
                <w:szCs w:val="24"/>
                <w:lang w:eastAsia="zh-CN"/>
              </w:rPr>
              <w:t>，</w:t>
            </w:r>
            <w:r>
              <w:rPr>
                <w:rFonts w:hint="eastAsia" w:ascii="Times New Roman" w:hAnsi="宋体"/>
                <w:kern w:val="0"/>
                <w:sz w:val="24"/>
                <w:szCs w:val="24"/>
                <w:lang w:val="en-US" w:eastAsia="zh-CN"/>
              </w:rPr>
              <w:t>包含课堂互动</w:t>
            </w:r>
            <w:r>
              <w:rPr>
                <w:rFonts w:hint="eastAsia" w:ascii="Times New Roman" w:hAnsi="宋体"/>
                <w:kern w:val="0"/>
                <w:sz w:val="24"/>
                <w:szCs w:val="24"/>
              </w:rPr>
              <w:t>）</w:t>
            </w:r>
          </w:p>
          <w:p w14:paraId="5E70E0E3">
            <w:pPr>
              <w:keepNext w:val="0"/>
              <w:keepLines w:val="0"/>
              <w:suppressLineNumbers w:val="0"/>
              <w:spacing w:before="0" w:beforeAutospacing="0" w:after="0" w:afterAutospacing="0" w:line="360" w:lineRule="auto"/>
              <w:ind w:left="210" w:leftChars="100" w:right="0" w:firstLine="230" w:firstLineChars="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‌课堂互动‌（每节5分钟）</w:t>
            </w:r>
          </w:p>
          <w:p w14:paraId="496EDBC4">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学生提问、讨论，教师解答。</w:t>
            </w:r>
          </w:p>
          <w:p w14:paraId="2C62F669">
            <w:pPr>
              <w:keepNext w:val="0"/>
              <w:keepLines w:val="0"/>
              <w:suppressLineNumbers w:val="0"/>
              <w:spacing w:before="0" w:beforeAutospacing="0" w:after="0" w:afterAutospacing="0" w:line="360" w:lineRule="auto"/>
              <w:ind w:left="210" w:leftChars="100" w:right="0" w:firstLine="470" w:firstLineChars="196"/>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设计意图：增强学生的参与感和理解深度。</w:t>
            </w:r>
          </w:p>
          <w:p w14:paraId="2CF7CCDE">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eastAsia" w:ascii="Times New Roman" w:hAnsi="宋体"/>
                <w:kern w:val="0"/>
                <w:sz w:val="24"/>
                <w:szCs w:val="24"/>
              </w:rPr>
              <w:t>·</w:t>
            </w:r>
            <w:r>
              <w:rPr>
                <w:rFonts w:hint="default" w:ascii="Times New Roman" w:hAnsi="宋体"/>
                <w:sz w:val="24"/>
                <w:szCs w:val="24"/>
              </w:rPr>
              <w:t>‌作业布置‌（每节3分钟）</w:t>
            </w:r>
          </w:p>
        </w:tc>
      </w:tr>
      <w:tr w14:paraId="1CACC38A">
        <w:trPr>
          <w:trHeight w:val="680" w:hRule="atLeast"/>
          <w:jc w:val="center"/>
        </w:trPr>
        <w:tc>
          <w:tcPr>
            <w:tcW w:w="1541" w:type="dxa"/>
            <w:tcBorders>
              <w:tl2br w:val="nil"/>
              <w:tr2bl w:val="nil"/>
            </w:tcBorders>
            <w:shd w:val="clear" w:color="auto" w:fill="00B0F0"/>
            <w:vAlign w:val="center"/>
          </w:tcPr>
          <w:p w14:paraId="7E928F92">
            <w:pPr>
              <w:keepNext w:val="0"/>
              <w:keepLines w:val="0"/>
              <w:suppressLineNumbers w:val="0"/>
              <w:spacing w:before="0" w:beforeAutospacing="0" w:after="0" w:afterAutospacing="0" w:line="24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8664" w:type="dxa"/>
            <w:tcBorders>
              <w:tl2br w:val="nil"/>
              <w:tr2bl w:val="nil"/>
            </w:tcBorders>
            <w:shd w:val="clear" w:color="auto" w:fill="00B0F0"/>
            <w:vAlign w:val="center"/>
          </w:tcPr>
          <w:p w14:paraId="7753E15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 要 教 学 内 容 及 步 骤</w:t>
            </w:r>
          </w:p>
        </w:tc>
      </w:tr>
      <w:tr w14:paraId="690D26BE">
        <w:trPr>
          <w:trHeight w:val="680" w:hRule="atLeast"/>
          <w:jc w:val="center"/>
        </w:trPr>
        <w:tc>
          <w:tcPr>
            <w:tcW w:w="1541" w:type="dxa"/>
            <w:tcBorders>
              <w:tl2br w:val="nil"/>
              <w:tr2bl w:val="nil"/>
            </w:tcBorders>
            <w:shd w:val="clear" w:color="auto" w:fill="D7F8FF"/>
            <w:vAlign w:val="center"/>
          </w:tcPr>
          <w:p w14:paraId="03B50A7D">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1BFA9F09">
            <w:pPr>
              <w:keepNext w:val="0"/>
              <w:keepLines w:val="0"/>
              <w:suppressLineNumbers w:val="0"/>
              <w:spacing w:before="0" w:beforeAutospacing="0" w:after="0" w:afterAutospacing="0" w:line="24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8664" w:type="dxa"/>
            <w:tcBorders>
              <w:tl2br w:val="nil"/>
              <w:tr2bl w:val="nil"/>
            </w:tcBorders>
            <w:vAlign w:val="center"/>
          </w:tcPr>
          <w:p w14:paraId="65AF73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2DE49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r>
      <w:tr w14:paraId="27952B7C">
        <w:trPr>
          <w:trHeight w:val="680" w:hRule="atLeast"/>
          <w:jc w:val="center"/>
        </w:trPr>
        <w:tc>
          <w:tcPr>
            <w:tcW w:w="1541" w:type="dxa"/>
            <w:tcBorders>
              <w:tl2br w:val="nil"/>
              <w:tr2bl w:val="nil"/>
            </w:tcBorders>
            <w:shd w:val="clear" w:color="auto" w:fill="D7F8FF"/>
            <w:vAlign w:val="center"/>
          </w:tcPr>
          <w:p w14:paraId="0611CD89">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555A04C">
            <w:pPr>
              <w:keepNext w:val="0"/>
              <w:keepLines w:val="0"/>
              <w:suppressLineNumbers w:val="0"/>
              <w:spacing w:before="0" w:beforeAutospacing="0" w:after="0" w:afterAutospacing="0" w:line="240" w:lineRule="auto"/>
              <w:ind w:left="0" w:right="0" w:hanging="8"/>
              <w:jc w:val="center"/>
              <w:rPr>
                <w:rFonts w:hint="default" w:ascii="Times New Roman" w:hAnsi="Times New Roman" w:eastAsia="宋体"/>
                <w:b/>
                <w:sz w:val="24"/>
                <w:szCs w:val="24"/>
              </w:rPr>
            </w:pPr>
            <w:r>
              <w:rPr>
                <w:rFonts w:hint="default" w:ascii="Times New Roman" w:hAnsi="Times New Roman" w:eastAsia="宋体"/>
                <w:sz w:val="24"/>
                <w:szCs w:val="24"/>
              </w:rPr>
              <w:t>（</w:t>
            </w:r>
            <w:r>
              <w:rPr>
                <w:rFonts w:hint="eastAsia" w:ascii="Times New Roman" w:hAnsi="Times New Roman" w:eastAsia="宋体"/>
                <w:sz w:val="24"/>
                <w:szCs w:val="24"/>
                <w:lang w:val="en-US" w:eastAsia="zh-CN"/>
              </w:rPr>
              <w:t>40</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780CAC37">
            <w:pPr>
              <w:keepNext w:val="0"/>
              <w:keepLines w:val="0"/>
              <w:suppressLineNumbers w:val="0"/>
              <w:spacing w:before="0" w:beforeAutospacing="0" w:after="0" w:afterAutospacing="0" w:line="360" w:lineRule="auto"/>
              <w:ind w:left="0" w:right="0"/>
              <w:rPr>
                <w:rFonts w:hint="eastAsia" w:ascii="Times New Roman" w:hAnsi="Times New Roman" w:eastAsia="宋体"/>
                <w:b/>
                <w:color w:val="C00000"/>
                <w:sz w:val="24"/>
                <w:szCs w:val="24"/>
                <w:lang w:eastAsia="zh-CN"/>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标题</w:t>
            </w:r>
            <w:r>
              <w:rPr>
                <w:rFonts w:hint="eastAsia" w:ascii="Times New Roman" w:hAnsi="Times New Roman" w:eastAsia="宋体"/>
                <w:b/>
                <w:color w:val="C00000"/>
                <w:sz w:val="24"/>
                <w:szCs w:val="24"/>
              </w:rPr>
              <w:t>】</w:t>
            </w:r>
            <w:r>
              <w:rPr>
                <w:rFonts w:hint="eastAsia" w:ascii="Times New Roman" w:hAnsi="Times New Roman" w:eastAsia="宋体"/>
                <w:b w:val="0"/>
                <w:bCs/>
                <w:color w:val="C00000"/>
                <w:sz w:val="24"/>
                <w:szCs w:val="24"/>
                <w:lang w:val="en-US" w:eastAsia="zh-CN"/>
              </w:rPr>
              <w:t>编写网络综合布线工程管理相关制度</w:t>
            </w:r>
          </w:p>
          <w:p w14:paraId="5635A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任务导入</w:t>
            </w:r>
          </w:p>
          <w:p w14:paraId="24ABDE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超算科技总公司要求分公司根据相关安全生产法律法规的规定，为保证综合布线系统工程的安全施工，保障施工人员的生命安全和财产安全，与承建方依法签署安全施工协议。其中要求承建方建立网络综合布线工程管理的相关制度。分公司孙总非常注重安全管理和项目质量，要求先以项目安全管理制度和项目质量管理办法来了解施工管理的基本流程和相关制度的编写。</w:t>
            </w:r>
          </w:p>
          <w:p w14:paraId="588A36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任务目标</w:t>
            </w:r>
          </w:p>
          <w:p w14:paraId="6B3711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1. 能理解综合布线系统施工管理的基本流程。</w:t>
            </w:r>
          </w:p>
          <w:p w14:paraId="421BC4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2. 能正确编制项目安全管理制度。</w:t>
            </w:r>
          </w:p>
          <w:p w14:paraId="58BB2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3. 会正确编制项目质量管理办法。</w:t>
            </w:r>
          </w:p>
          <w:p w14:paraId="18A41C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4. 能严格遵守项目安全制度，敬畏职责，敬畏规章，树立安全作业意识。</w:t>
            </w:r>
            <w:r>
              <w:rPr>
                <w:rFonts w:hint="eastAsia" w:ascii="Times New Roman" w:hAnsi="Times New Roman" w:eastAsia="宋体"/>
                <w:b/>
                <w:color w:val="000000" w:themeColor="text1"/>
                <w:sz w:val="24"/>
                <w:szCs w:val="24"/>
                <w:lang w:eastAsia="zh-CN"/>
                <w14:textFill>
                  <w14:solidFill>
                    <w14:schemeClr w14:val="tx1"/>
                  </w14:solidFill>
                </w14:textFill>
              </w:rPr>
              <w:t xml:space="preserve"> </w:t>
            </w:r>
          </w:p>
          <w:p w14:paraId="54C63E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b/>
                <w:bCs w:val="0"/>
                <w:color w:val="000000" w:themeColor="text1"/>
                <w:sz w:val="24"/>
                <w:szCs w:val="24"/>
                <w:lang w:val="en-US" w:eastAsia="zh-CN"/>
                <w14:textFill>
                  <w14:solidFill>
                    <w14:schemeClr w14:val="tx1"/>
                  </w14:solidFill>
                </w14:textFill>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内容</w:t>
            </w:r>
            <w:r>
              <w:rPr>
                <w:rFonts w:hint="eastAsia" w:ascii="Times New Roman" w:hAnsi="Times New Roman" w:eastAsia="宋体"/>
                <w:b/>
                <w:color w:val="C00000"/>
                <w:sz w:val="24"/>
                <w:szCs w:val="24"/>
              </w:rPr>
              <w:t>】</w:t>
            </w:r>
          </w:p>
          <w:p w14:paraId="49592B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7A8B24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从施工的角度看，综合布线作为一个独立的系统，它在工程项目总体施工部署和管理目标的指导下，形成了自身的项目管理方案和目标，按照其预先设计、达到相应等级以及质量的要求，应如期竣工交付业主使用。</w:t>
            </w:r>
          </w:p>
          <w:p w14:paraId="54CDFA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综合布线工程要求施工单位具备工程组织能力、工程实践能力和工程管理能力，同时在施工中做好工程施工管理、工程技术管理和工程质量管理。</w:t>
            </w:r>
          </w:p>
          <w:p w14:paraId="0EC9D9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工程施工管理包括施工进度管理、施工界面管理和施工组织管理。工程技术管理包括技术标准和规范管理、安装工艺管理以及技术文件管理。工程质量管理具体包括施工图的规划和制图的质量标准、管线施工的质量检查和监督、配线规格的审查和质量要求、系统运行时的参数统计和质量分析、系统验收的步骤和方法、系统验收的质量标准、系统操作与运行时的规范和要求、系统的保养与维护的规范和要求等。</w:t>
            </w:r>
          </w:p>
          <w:p w14:paraId="6D03C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质量控制是工程的“灵魂”，如果工程没有质量，就毫无存在的价值。质量控制应坚持“质量第一，预防为主”的方针，在具体实施中应按工程设计、施工规范及工艺规程等规定执行，以满足用户的实际需要。由于综合布线系统的缆线或部件极为精细，且价格较高，必须加强检验和严格控制，正确编制项目质量管理办法，使工程质量得以确保。</w:t>
            </w:r>
          </w:p>
          <w:p w14:paraId="16E815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任何一个工程建设项目都有施工人员参与，这就有人身生命安全的问题。此外，工程本身的事故、环境保护等都属于安全生产的范围。安全管理必须坚持“安全第一，预防为主”的方针。应建立安全管理体系和安全生产责任制，加强重点工序如光纤连接和光缆接续等的安全生产教育，应坚持持证上岗制度，根据安装施工现场的特点，采取相应的安全技术措施。</w:t>
            </w:r>
          </w:p>
          <w:p w14:paraId="30D8D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692E9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安全保障措施</w:t>
            </w:r>
          </w:p>
          <w:p w14:paraId="3C59C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建立安全制度。建立安全生产岗位责任制，项目经理是安全工作的第一责任者，应现场设专职质安员，加强现场安全生产的监督检查。整个现场管理要把安全生产当作头等大事来抓，坚持实行安全值班制度，认真贯彻执行各项安全生产的政策及法令规定，在安排施工任务的同时，必须进行安全交底，有书面资料和交接人签字，施工中认真执行安全操作规程和各项安全规定，严禁违章作业、违章指挥，现场机电设备防火安全设施要有专人负责。</w:t>
            </w:r>
          </w:p>
          <w:p w14:paraId="516E5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贯彻安全计划。现场安全管理员必须对所有施工人员的安全及卫生的工作环境负有重要责任。每次的现场协调会议和安全工作会议上，安全管理员和安全管理员代表必须出席，及时反映工地现场的安全隐患和安全保护措施。会议内容应当明显地写在工地现场办公地点的告示牌上。安全员须每半月在工地现场举行一次安全会议，提高现场施工人员的安全意识。如出现安全问题或事故，施工人员必须马上向安全管理员报告整个事件情况。</w:t>
            </w:r>
          </w:p>
          <w:p w14:paraId="480EC2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对于在危险工作地点工作的人员，为防止意外事故，应对每个人员给予指导性的培训，并对施工操作给予系统的解释，直接发给每个人员紧急事件集合点地图和注意事项。在发生危险出现死亡或严重身体伤害时，应立刻通知本单位和业主以及当地救护中心，并在 24 小时以内提交关于事故的详细书面报告。</w:t>
            </w:r>
          </w:p>
          <w:p w14:paraId="275F3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（3）下面是电动工具安全管理制度的样例。</w:t>
            </w:r>
          </w:p>
          <w:p w14:paraId="0E7687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center"/>
              <w:textAlignment w:val="auto"/>
              <w:rPr>
                <w:rFonts w:hint="eastAsia" w:ascii="宋体" w:hAnsi="宋体" w:eastAsia="宋体" w:cs="宋体"/>
                <w:b/>
                <w:bCs w:val="0"/>
                <w:color w:val="2F5597" w:themeColor="accent5" w:themeShade="BF"/>
                <w:sz w:val="24"/>
                <w:szCs w:val="24"/>
                <w:lang w:val="en-US" w:eastAsia="zh-CN"/>
              </w:rPr>
            </w:pPr>
            <w:r>
              <w:rPr>
                <w:rFonts w:hint="eastAsia" w:ascii="宋体" w:hAnsi="宋体" w:eastAsia="宋体" w:cs="宋体"/>
                <w:b/>
                <w:bCs w:val="0"/>
                <w:color w:val="2F5597" w:themeColor="accent5" w:themeShade="BF"/>
                <w:sz w:val="24"/>
                <w:szCs w:val="24"/>
                <w:lang w:val="en-US" w:eastAsia="zh-CN"/>
              </w:rPr>
              <w:t>电动工具安全管理制度</w:t>
            </w:r>
          </w:p>
          <w:p w14:paraId="2A1964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手持电动工具是用手直接接触带电设备进行操作生产的小型设备，极易发生漏电、短路等问题。为防止手持电动工具造成伤亡事故，保护操作者的安全特制定本制度。</w:t>
            </w:r>
          </w:p>
          <w:p w14:paraId="2E8A21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凡属下列小型设备均为手持电动工具：电扳子、手电钻、手用电砂轮、电改锥、冲击钻等。</w:t>
            </w:r>
          </w:p>
          <w:p w14:paraId="4D2F2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手持电动工具使用保管的各部门负责人为第一责任人，手持电动工具的保管人为第二责任人。</w:t>
            </w:r>
          </w:p>
          <w:p w14:paraId="28C12B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部门负责人或手持电动工具的保管人在人事调动时必须做好手持电动工具的书面交接手续。</w:t>
            </w:r>
          </w:p>
          <w:p w14:paraId="04C72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 手持电动工具应存放在通风良好、清洁干燥的专用库房存放。</w:t>
            </w:r>
          </w:p>
          <w:p w14:paraId="6A8F4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5. 各类手持电动工具必须由各单位工具室统一保管，个人不得长期保存各类电动工具。</w:t>
            </w:r>
          </w:p>
          <w:p w14:paraId="0BBA33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6. 手持电动工具应做到分类放置，摆放整齐，并在工具柜内标明工具名称数量，应一一对应。</w:t>
            </w:r>
          </w:p>
          <w:p w14:paraId="7C2245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7. 各单位工具室必须严格执行借用制度，严格借用手续，借用期限最长不得超过三天。</w:t>
            </w:r>
          </w:p>
          <w:p w14:paraId="154105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8. 电动工具借出和收回时，工具室应严格检查插头、导线等有无破损、变形、失灵和松动，不得将带病电动工具借出。</w:t>
            </w:r>
          </w:p>
          <w:p w14:paraId="0CADA3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9. 各类手持电动工具每月 5 日前由工具室进行定期检查，每季度初 5 日前由本单位电工进行检测绝缘电阻，按检查表填好记录，由工具室保存，发现隐患及时排除。</w:t>
            </w:r>
          </w:p>
          <w:p w14:paraId="58125C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10. 不合格的工器具应及时检修报废，不得继续使用。</w:t>
            </w:r>
          </w:p>
          <w:p w14:paraId="6F77C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11. 各单位手持电动工具必须设立台账，以便安全人员随时检查或抽查。</w:t>
            </w:r>
          </w:p>
          <w:p w14:paraId="614EA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12. 凡要报废的工具需按报废程序进行鉴定、审核，经最终审批后进行报废处理的工具不得再继续使用。</w:t>
            </w:r>
          </w:p>
          <w:p w14:paraId="1CCD9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质量控制管理</w:t>
            </w:r>
          </w:p>
          <w:p w14:paraId="6BAC5C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质量控制主要表现为施工组织和施工现场的质量控制，控制的内容包括工艺质量控制和产品质量控制。</w:t>
            </w:r>
          </w:p>
          <w:p w14:paraId="56051A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影响质量控制的因素主要有人、材料、机械、方法和环境五个方面。因此，对这五个方面因素进行严格控制，是保证工程质量的关键。</w:t>
            </w:r>
          </w:p>
          <w:p w14:paraId="0076DE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具体措施如下。</w:t>
            </w:r>
          </w:p>
          <w:p w14:paraId="30C69C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（1）现场成立以项目经理为首、由各分组负责人参加的质量管理领导小组。</w:t>
            </w:r>
          </w:p>
          <w:p w14:paraId="4DCD0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（2）承包方在工程中应投入受过专业训练及经验丰富的人员来施工及督导。</w:t>
            </w:r>
          </w:p>
          <w:p w14:paraId="215FD9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（3）施工时应严格按照施工图样、操作规程及现阶段规范要求进行施工。</w:t>
            </w:r>
          </w:p>
          <w:p w14:paraId="79D32F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（4）认真做好施工记录。</w:t>
            </w:r>
          </w:p>
          <w:p w14:paraId="0D9F55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（5）加强材料的质量控制，因其是提高工程质量的重要保证。</w:t>
            </w:r>
          </w:p>
          <w:p w14:paraId="094BE4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（6）认真做好技术资料和文档工作，对于各类设计图样资料仔细保存，对各道工序的工作认真做好记录和文字资料，完工后整理出整个系统的文档资料，为今后的应用和维护工作打下良好的基础。</w:t>
            </w:r>
          </w:p>
          <w:p w14:paraId="37B10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下面是网络布线质量控制管理的样例。</w:t>
            </w:r>
          </w:p>
          <w:p w14:paraId="6A2AE6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center"/>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bCs w:val="0"/>
                <w:color w:val="2F5597" w:themeColor="accent5" w:themeShade="BF"/>
                <w:sz w:val="24"/>
                <w:szCs w:val="24"/>
                <w:lang w:val="en-US" w:eastAsia="zh-CN"/>
              </w:rPr>
              <w:t>网络布线质量管理制度</w:t>
            </w:r>
          </w:p>
          <w:p w14:paraId="7848B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一、总则</w:t>
            </w:r>
          </w:p>
          <w:p w14:paraId="3B2B3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为了规范公司网络布线工程的施工，保障网络通信的质量，提高网络布线工程的设计、施工和验收水平，制订本制度。</w:t>
            </w:r>
          </w:p>
          <w:p w14:paraId="69E918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二、适用范围</w:t>
            </w:r>
          </w:p>
          <w:p w14:paraId="79F195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本制度适用于公司内部所有网络布线工程的设计、施工和验收过程。</w:t>
            </w:r>
          </w:p>
          <w:p w14:paraId="4AF0F2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三、质量管理原则</w:t>
            </w:r>
          </w:p>
          <w:p w14:paraId="372D7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严格按照相关国家标准和行业标准进行施工。</w:t>
            </w:r>
          </w:p>
          <w:p w14:paraId="40C8F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严格按照设计方案进行施工。</w:t>
            </w:r>
          </w:p>
          <w:p w14:paraId="67B4F8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严格按照验收标准进行验收，确保工程质量。</w:t>
            </w:r>
          </w:p>
          <w:p w14:paraId="29C02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 严格按照施工图纸进行工程施工。</w:t>
            </w:r>
          </w:p>
          <w:p w14:paraId="1F9B71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四、施工资质要求</w:t>
            </w:r>
          </w:p>
          <w:p w14:paraId="048E6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具备相应的网络布线施工资质。</w:t>
            </w:r>
          </w:p>
          <w:p w14:paraId="613E7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具备一定数量的有经验的技术人员。</w:t>
            </w:r>
          </w:p>
          <w:p w14:paraId="171F4D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具备适当的施工设备和工具。</w:t>
            </w:r>
          </w:p>
          <w:p w14:paraId="27489F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五、设计要求</w:t>
            </w:r>
          </w:p>
          <w:p w14:paraId="54E69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设计人员应具有相关资质和经验。</w:t>
            </w:r>
          </w:p>
          <w:p w14:paraId="21B98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设计应符合相关国家标准和行业标准。</w:t>
            </w:r>
          </w:p>
          <w:p w14:paraId="36790B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设计应符合工程施工要求。</w:t>
            </w:r>
          </w:p>
          <w:p w14:paraId="1069B4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六、施工要求</w:t>
            </w:r>
          </w:p>
          <w:p w14:paraId="4B22F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施工人员应具有相关资质和经验。</w:t>
            </w:r>
          </w:p>
          <w:p w14:paraId="42761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施工应按照设计要求进行，确保工程质量。</w:t>
            </w:r>
          </w:p>
          <w:p w14:paraId="7DB82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施工现场应保持整洁，确保安全施工。</w:t>
            </w:r>
          </w:p>
          <w:p w14:paraId="080DF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 施工应保障现有网络正常通信，避免影响业务。</w:t>
            </w:r>
          </w:p>
          <w:p w14:paraId="68D9E4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七、验收要求</w:t>
            </w:r>
          </w:p>
          <w:p w14:paraId="50F122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验收应按照相关国家标准和行业标准进行。</w:t>
            </w:r>
          </w:p>
          <w:p w14:paraId="7E8EC3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验收应严格按照设计要求进行，确保工程质量。</w:t>
            </w:r>
          </w:p>
          <w:p w14:paraId="469D50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验收应由具备相应资质的机构或人员进行。</w:t>
            </w:r>
          </w:p>
          <w:p w14:paraId="6B6FF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八、质量管理措施</w:t>
            </w:r>
          </w:p>
          <w:p w14:paraId="0D0831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设立质量管理部门，负责网络布线工程的质量管理工作。</w:t>
            </w:r>
          </w:p>
          <w:p w14:paraId="62E0A5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定期组织网络布线工程质量检査，检查工程实际情况是否符合设计要求。</w:t>
            </w:r>
          </w:p>
          <w:p w14:paraId="5068BF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每一阶段的工程施工完成后，要进行内部验收，确保每一阶段的工程质量。</w:t>
            </w:r>
          </w:p>
          <w:p w14:paraId="3B30C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 对施工人员进行培训，保障施工人员具备相应的质量意识和技术素质。</w:t>
            </w:r>
          </w:p>
          <w:p w14:paraId="723667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5. 对设计人员进行技术和业务培训，确保设计人员具备相关的质量意识和技术素质。</w:t>
            </w:r>
          </w:p>
          <w:p w14:paraId="1DC3F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九、附则</w:t>
            </w:r>
          </w:p>
          <w:p w14:paraId="4BB06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 本制度的解释权归公司质量管理部门所有。</w:t>
            </w:r>
          </w:p>
          <w:p w14:paraId="3BADD9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 本制度自发布之日起生效。</w:t>
            </w:r>
          </w:p>
          <w:p w14:paraId="20776C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 本制度未尽事宜，由质量管理部门解释。</w:t>
            </w:r>
          </w:p>
          <w:p w14:paraId="02291F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质量要求：明确质量控制管理的目标和目的、遵循法律法规、明确权责关系、简明扼要、具体明确、可操作性。</w:t>
            </w:r>
          </w:p>
          <w:p w14:paraId="75A6D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454D0B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6 -1 的内容进行自我评价和小组内相互评价，教师根据实践报告认真填写评价及指导建议。</w:t>
            </w:r>
          </w:p>
          <w:p w14:paraId="1C150C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eastAsia="宋体"/>
              </w:rPr>
            </w:pPr>
            <w:r>
              <w:drawing>
                <wp:inline distT="0" distB="0" distL="114300" distR="114300">
                  <wp:extent cx="4940300" cy="2013585"/>
                  <wp:effectExtent l="0" t="0" r="12700" b="18415"/>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6"/>
                          <a:stretch>
                            <a:fillRect/>
                          </a:stretch>
                        </pic:blipFill>
                        <pic:spPr>
                          <a:xfrm>
                            <a:off x="0" y="0"/>
                            <a:ext cx="4940300" cy="2013585"/>
                          </a:xfrm>
                          <a:prstGeom prst="rect">
                            <a:avLst/>
                          </a:prstGeom>
                          <a:noFill/>
                          <a:ln>
                            <a:noFill/>
                          </a:ln>
                        </pic:spPr>
                      </pic:pic>
                    </a:graphicData>
                  </a:graphic>
                </wp:inline>
              </w:drawing>
            </w:r>
          </w:p>
          <w:p w14:paraId="4D3B0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知识链接</w:t>
            </w:r>
          </w:p>
          <w:p w14:paraId="6EEE8A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color w:val="EC51F8"/>
                <w:sz w:val="24"/>
                <w:szCs w:val="24"/>
                <w:lang w:val="en-US" w:eastAsia="zh-CN"/>
              </w:rPr>
              <w:t>1. 工程管理要求达到的两个目的</w:t>
            </w:r>
          </w:p>
          <w:p w14:paraId="4014F6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（1）控制整个施工过程，确保每一道工序井井有条，工序与工序之间协调配合。</w:t>
            </w:r>
          </w:p>
          <w:p w14:paraId="68A82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（2）密切掌握每天的工程进展和质量，发现问题及时纠正。</w:t>
            </w:r>
          </w:p>
          <w:p w14:paraId="4BCA6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施工管理基本流程</w:t>
            </w:r>
          </w:p>
          <w:p w14:paraId="1EE218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（1）接到工程施工后，与设计人员共同进行现场勘察，交流现场实际情况与设计方案存在的出入，出图，并出勘察纪要，以备设计整改。</w:t>
            </w:r>
          </w:p>
          <w:p w14:paraId="07102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（2）提交施工组织设计方案，进行内部交底。施工方案应包括工期进度安排、材料准备、施工流程、设备安装量表、工期质量材料保障措施，内部交底后确定工程解决方案。</w:t>
            </w:r>
          </w:p>
          <w:p w14:paraId="2BEFC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（3）对建设方进行施工技术交底，交底内容以施工方案为主、设计思路为辅，交底后编写可行的施工组织设计。</w:t>
            </w:r>
          </w:p>
          <w:p w14:paraId="18C247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向监理报备和申请施工组织设计，编写开工报告，做好施工准备，包括：落实水、电、库房、办公场地。库房需要配备专职库管员，库管员须对设备和材料的进出库做好登记，在设备开箱时对设备的外观、型号进行检查并记录。库房内的设备材料应堆放有序，并做好防潮、防火工作。落实施工队伍安全、文明施工教育，施工队伍施工交底，以及施工队伍安全管理制度。设备材料报建设方认证，报监理材料审验。向公司提交人员、资金、材料计划。</w:t>
            </w:r>
          </w:p>
          <w:p w14:paraId="1E0038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（5）工程实施阶段。</w:t>
            </w:r>
          </w:p>
          <w:p w14:paraId="3AB53A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安全管理：对于危险、超高、易爆、易燃、高压等环境做好保障措施。</w:t>
            </w:r>
          </w:p>
          <w:p w14:paraId="3381DB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进度管理：合理安排工作计划，按工程整体进度表进行规划，包括资金、材料、人员的使用，加强现场协调。</w:t>
            </w:r>
          </w:p>
          <w:p w14:paraId="6DB59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质量控制：按照规范检查工作，控制成本，现场变更应及时得到建设方及监理确认。同建设方、监理方定期进行现场例会，会后填写会议纪要。施工资料应及时整理积累，做好施工日志。</w:t>
            </w:r>
          </w:p>
          <w:p w14:paraId="309E64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（6）组织工程自检，发现工程中存在的问题应及时解决。</w:t>
            </w:r>
          </w:p>
          <w:p w14:paraId="052F06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（7）协同建设方、监理共同进行工程验收。</w:t>
            </w:r>
          </w:p>
          <w:p w14:paraId="5944C2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（8）竣工资料整理，资料内部存档。 小贴士</w:t>
            </w:r>
          </w:p>
          <w:p w14:paraId="03960D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（9）完成工程总结报告。</w:t>
            </w:r>
          </w:p>
          <w:p w14:paraId="259746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现场管理制度与要求</w:t>
            </w:r>
          </w:p>
          <w:p w14:paraId="0DEDCD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施工现场是指施工活动所涉及的施工场地以及项目各部门和施工人员可能涉及的一切活动范围。对于通信工程，点多线长、施工工期较短，施工经常跨地区、跨省市进行，施工过程中需要与沿线政府、企业、居民沟通，办理相应的手续、支付相应的赔补费用，现场管理的任务十分繁重。现场管理工作应着重考虑对施工现场工作环境、居住环境、自然环境、现场物资，以及所有参与项目施工的人员的行为进行管理，应按照事前、事中、事后的时间段，按照制定计划、实施计划、过程检查、发现问题后对问题进行分析、制定预防和纠正措施的程序进行现场管理。施工现场管理的基本要求主要包括以下几个方面。</w:t>
            </w:r>
          </w:p>
          <w:p w14:paraId="186C14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对现场工作环境进行管理，项目经理部应按照施工组织设计的要求管理作业现场工作环境，落实各项工作负责人；在施工过程中，应严格执行检查计划，对于检查中所发现的问题进行分析，制定纠正及预防措施，并予以实施；对工程中的责任事故应按奖惩方案予以奖惩；施工现场的安全和环境保护工作应按照企业的相关保护条例和施工组织设计的相关要求进行；当施工现场发生紧急事件时，应按照企业的事故应急预案进行处理。</w:t>
            </w:r>
          </w:p>
          <w:p w14:paraId="68D777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对现场居住环境的管理，项目经理部应根据施工组织设计的要求，对施工驻地的材料放置和伙房卫生进行重点管理，落实驻点管理负责人和工地伙房管理办法、员工宿舍管理办法、驻点防火防盗措施、驻点环境卫生管理办法，教育员工要清楚发生火灾时的逃生通道，在外进餐时应注意饮食卫生，以保证施工材料和施工人员的安全。</w:t>
            </w:r>
          </w:p>
          <w:p w14:paraId="039DBE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对现场周围环境的管理，要求项目经理部实施施工组织设计中的相关计划，在考虑施工现场周围环境的地形特点、施工的季节、现场的交通流量、施工现场附近的居民密度、施工现场的高压线和其他管线情况、与公路及铁路的交越情况、与河流的交越情况等前提下进行施工作业，对重要环境因素应重点对待。项目经理部应对施工过程中相关计划的执行情况进行检查，发现问题应及时分析，制定相应的纠正和预防措施，并予以实施。</w:t>
            </w:r>
          </w:p>
          <w:p w14:paraId="52F45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对于现场物资的管理，由于线路工程点多线长，物资管理人员应按照施工组织设计中的分屯计划组织接收工程物资。对于线路和其他专业的通信工程，物资管理人员还应按照施工组织设计的要求进行进货检验，并填写相应的检验记录。在工地驻点的物资存放方面，施工现场物资管理人员应根据施工工序的前后次序放置施工材料，并进行恰当标识，现场物资应整齐码放，注意防火、防盗、防潮。物资管理人员还应做好现场物资的进货、领用的账目记录，并负责向业主移交剩余物资，办理相应手续。对于上述工作的完成情况，项目经理部应在施工过程中进行检查，发现问题时应按相关要求进行处理。</w:t>
            </w:r>
          </w:p>
          <w:p w14:paraId="15798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4. 质量控制管理</w:t>
            </w:r>
          </w:p>
          <w:p w14:paraId="462400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综合布线作为一个系统工程已经成为现代化智能大楼不可缺少的一部分。如果把综合布线作为一个独立的单项工程，从工程质量管理方面入手，综合布线系统工程在施工过程中应如何进行科学有效的管理？</w:t>
            </w:r>
          </w:p>
          <w:p w14:paraId="10BCC3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从一个项目的角度看，综合布线可分为设计、施工和测试三个阶段，它在工程项目总体施工部署和管理目标的指导下，形成自身的质量管理目标，达到相应等级以及质量的要求，如期建成并交付使用。</w:t>
            </w:r>
          </w:p>
          <w:p w14:paraId="5D5C95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（1）设计阶段质量管理。一般来说，国际信息通信标准是随着科学技术的发展，逐步修订、完善的，综合布线系统也是如此。目前，国际上各综合布线产品都提出了 15年或 15 年以上的质量保证体系，并没有提出多少年投资保证。为了保护建筑物投资者的利益，在设计智能化建筑物综合布线系统期间，应提出并研究近期和长远的需求和技术发展方向，可采取“总体规划，分步实施，水平布线尽量一步到位”的方式。布线系统涉及大量的线路连接，这给管理带来了一定的困难。色场标记方案系统而科学地规定了怎样根据参数和识别步骤，查清交连场的线路和设备端接点。作为一种重要的技术文档，色标标记方案是后期布线管理重要的技术依据。</w:t>
            </w:r>
          </w:p>
          <w:p w14:paraId="615B9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（2）施工期间质量管理。综合布线系统施工主要包括管线安装、线缆敷设、线缆端接、设备安装等几个阶段。实施过程中应针对每个阶段难点进行质量控制。</w:t>
            </w:r>
          </w:p>
          <w:p w14:paraId="29B01E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p>
          <w:p w14:paraId="52C366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安装水平线槽、铺设穿线管、信息插座暗盒、竖井桥架、水平线槽与竖井桥架的连接时应注意工艺要求（如确保线缆铺设时线槽、线管应连接紧密、牢靠，管道内无毛刺等），熟悉相关标准（如强弱电线槽、线管、暗盒应保持 30 cm 距离并应做好接地等）。</w:t>
            </w:r>
          </w:p>
          <w:p w14:paraId="0F6D06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铺设水平线缆、垂直主干大对数电缆光纤时应做好线缆两头的标记，布放缆线时应注意：不能超过线缆牵引力要求范围，缆线布放时应有冗余。在楼层配线间 UTP 电缆预留一般为 3～6 m；工作区为 0.3～0.6 m；光缆在设备端预留长度一般为 5～10 m；有特殊要求的应按设计要求预留长度；在同一线槽内包括绝缘在内的导线截面积总和应该不超过内部截面积的 40%；缆线的布放应平直，不得产生扭绞、打圈等现象，不应受到外力的挤压和损伤；电缆桥架内缆线垂直敷设时，在缆线的上端和每间隔 1.5 m 处，应固定在桥架的支架上，水平敷设时，直接部分间隔 3～5 m 处设固定点，在缆线的距离首端、尾端、转弯中心点处 300～500 mm 处设置固定点等问题。</w:t>
            </w:r>
          </w:p>
          <w:p w14:paraId="48A6E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安装工作区模块面板、楼层配线架线缆端接、楼层配线架大对数线缆端接、综合布线设备间大对数线缆端接时，应同时制作连接端口标签，在端接线缆时应考虑机柜整体规划，合理安排数据、语音配线架的安装位置以及过线槽的安装位置。线缆应布放整齐并捆扎牢固，端接时要按照不同类别布线系统的要求，打开线缆对绞长度不应该超出标准要求。</w:t>
            </w:r>
          </w:p>
          <w:p w14:paraId="5DFA18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配线架安装，光纤熔接时应同时制作连接端口标签，光纤熔接应考虑现场环境灰尘，严格按照熔接机操作规程操作，做好光纤熔接头的清洁。熔接后应给连接头加防尘帽。光缆在机柜中应布放整齐并捆扎牢固。</w:t>
            </w:r>
          </w:p>
          <w:p w14:paraId="11E4C2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（3）测试阶段质量管理。超 5 类和 6 类综合布线系统是目前使用最多的综合布线系统，由于用户各种应用的实际数据带宽都不高，除非是质量非常差的系统，多数系统的一般质量问题甚至严重质量问题都普遍隐藏得比较深，一般要过几年甚至十几年才会暴露出来，而此时早就过了质量追溯期，多数用户只能靠启用冗余链路和临时修修补补来维持升级后的大带宽应用，或者干脆将原有系统报废，重新布线来解决早期遗留问题。</w:t>
            </w:r>
          </w:p>
          <w:p w14:paraId="0E81E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提前更换系统将造成预算损失，由于重新布线需要时间，许多用户更看重的是损失的业务时间和相关利润。</w:t>
            </w:r>
          </w:p>
          <w:p w14:paraId="0AADD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（4）测试标准的选择。小型网络一般选择 5 类线系统，施工人员在铺设完工后一般会先做个通断测试（看看通断测试仪上的 8 个指示灯是否点亮），或者一边施工一边进行小批量通断测试，如果没有问题就可以“交工”了。所以，用户自己常常无法发现布线系统隐藏的质量问题，因为只做通断测试是无法判定该网络布线系统是否符合 5 类系统的要求的。即便是有严重的质量问题也不会马上暴露出来，多半要等到几年以后上一些大带宽的应用时才会发现问题，而高清格式大带宽视频应用现在还没普及，同时也由于互联网带宽的扩容速度相对于网络用户需求的增长速度来说相当缓慢，城域网建设的滞后又制约了本地高速带宽视频应用的推广速度。据此乐观估计，用户自己发现布线系统存在严重质量问题的时间最快也要在 3～5 年之后。</w:t>
            </w:r>
          </w:p>
          <w:p w14:paraId="48FEBC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对于中大型网络或部分可靠性要求高的中小型网络，其规划建设者一般都具备一些综合布线系统的质量检测知识，有的用户甚至还很熟悉 GB/T 50312-2016《综合布线工程验收规范》。由于其自身的网络结构比较复杂，虽然不是全部，但部分用户的带宽耗用会比较大，比如 VOD 特权用户，特别是数据集中型用户，因数据中心的质量要求较高，应用速度快，只测试通断是不能保证链路一定能达到这些应用的要求的。</w:t>
            </w:r>
          </w:p>
          <w:p w14:paraId="47F0E0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知识拓展</w:t>
            </w:r>
          </w:p>
          <w:p w14:paraId="42D94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项目施工管理概要</w:t>
            </w:r>
          </w:p>
          <w:p w14:paraId="5AA1EE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施工管理的范围是由承包施工合同界定的，通常由工程承包施工合同中规定的承包范围作为管理的范围，可以是工程建筑项目（如 XX 校园综合布线系统工程），也可以是单项工程或单位工程（如地下通信管道工程或安装通信设备工程等）。按照工程建设领域的规定，只有建设项目、单项工程、单位工程的施工活动过程，且形成最终产品，才能称为施工项目。由于分部工程、分项工程都不是最终产品（如缆线的检验测试或槽道加工组装等），所以它们是施工活动过程，不能称其为施工项目，它们是施工项目的组成部分，其施工管理工作在整个工程项目的基本范围之内。</w:t>
            </w:r>
          </w:p>
          <w:p w14:paraId="489E63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综合布线是一个系统工程，要将综合布线设计方案最终在建筑中完美体现，工程组织和工程实施是十分重要的环节。综合布线系统工程具有任务细节繁杂、技术性强的特点，为此工程管理上需要采用设计管理和现场施工管理相结合的模式。设计管理侧重于对整体综合布线技术从需求、方案、设计到具体实际施工中所出现的切实问题予以关注和解决。设计管理大量涉及合同中的产品数量、型号，因此，更多地体现在产品质量管理、费用控制和信息管理、合同管理、技术培训、技术交流和维护保养等方面。</w:t>
            </w:r>
          </w:p>
          <w:p w14:paraId="50A30C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现场施工管理是综合布线系统与机电、土建单位联络的主要方式。现场施工管理要做好安全工作。</w:t>
            </w:r>
          </w:p>
          <w:p w14:paraId="6B4A0A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综合布线系统工程与智能化建筑或某一智能化主体建筑工程相比而言，是一个很小的子系统，但它是一个独立的工程建设项目，具有一定的管理范围和相应的工作内容，主要有进度、质量、成本和安全生产等控制，人力资源、设备器材、设备和仪表工具、技术资金、合同、信息、施工现场等管理以及组织协调、生活事务等具体工作，应该说“麻雀虽小、五脏俱全”。与综合布线系统安装施工中密切相关的主要管理和控制部分包括以下几个方面。</w:t>
            </w:r>
          </w:p>
          <w:p w14:paraId="3190F9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进度控制。综合布线系统工程的安装施工进度控制，应以实现承包施工合同约定的竣工日期为最终目标，对此可按单项工程或单位工程（如屋内建筑物主干布线子系统缆线的敷设）分解为交工分目标，并编制施工进度计划，在工期实施过程中加以监督管理和严格控制，当出现进度偏差时，应及时采取措施调整，力求总的进度目标不变以顺利完成施工任务。</w:t>
            </w:r>
          </w:p>
          <w:p w14:paraId="7467F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质量控制。质量控制是综合布线系统工程中三大控制的重要内容，应坚持“质量第一，预防为主”的方针，按照最新的标准和施工企业质量管理体系的要求进行施工活动。在综合布线系统工程施工过程中应按标准规定，实行自检、互检和交接检验。如隐蔽工程或指定部位（如地下通信管道工程和光纤连接工序等），在未经检验或虽经检验定为不合格的工序，严禁掩盖并不得转入下道工序。</w:t>
            </w:r>
          </w:p>
          <w:p w14:paraId="714CF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安全控制。在综合布线系统工程中，尤其要防止施工人员高空坠落、沟槽塌方、交通事故、触电、沼气中毒等伤亡事故的发生，要采取切实有效、安全可靠的保护措施，务必保证安装施工过程中不发生安全事故。</w:t>
            </w:r>
          </w:p>
          <w:p w14:paraId="331294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成本控制。成本控制对于施工企业来说是极为重要的管理内容，在综合布线系统工程的施工合同签订后，施工企业应根据合同规定的总造价、工程设计和施工图样及招标文件中的工程量进行核算，初步确定在安装施工的正常情况下的管理费用、企业开支和施工成本（又称可控成本）。在整个施工过程中应坚持按照增收节支、全面控制、责权利相结合的原则，用目标管理方法对实际完成工程量的施工成本发生过程，进行切实有效的控制。同时，在成本控制过程中，结合质量控制的要求，坚决反对和杜绝安装施工中偷工减料、以次充好和降低标准等所谓节约的不良行为，严重的必须从严处理。</w:t>
            </w:r>
          </w:p>
          <w:p w14:paraId="3ECEE9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（5）设备和器材的管理。综合布线系统工程中所需的设备和器材应由建设单</w:t>
            </w:r>
          </w:p>
          <w:p w14:paraId="259D2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eastAsia="宋体"/>
                <w:sz w:val="24"/>
                <w:szCs w:val="24"/>
                <w:lang w:val="en-US" w:eastAsia="zh-CN"/>
              </w:rPr>
            </w:pPr>
          </w:p>
          <w:p w14:paraId="108D9A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eastAsia="宋体"/>
                <w:sz w:val="24"/>
                <w:szCs w:val="24"/>
                <w:lang w:val="en-US" w:eastAsia="zh-CN"/>
              </w:rPr>
            </w:pPr>
            <w:r>
              <w:rPr>
                <w:rFonts w:hint="eastAsia" w:eastAsia="宋体"/>
                <w:sz w:val="24"/>
                <w:szCs w:val="24"/>
                <w:lang w:val="en-US" w:eastAsia="zh-CN"/>
              </w:rPr>
              <w:t>位或业主委托有关单位向厂商订货或市场采购，所有设备或器材均应按工程设计或供货合同的质量要求，保质保量筹集和供应，进入施工现场的设备或器材应进行数量、型号和规格的验收；其质量、性能和外形应予以认证，做出相应的验收记录和便于辨别的标识。凡是不合格的或无生产厂家提供证明的设备和器材，都不允许在工程中使用。所有设备和器材运进施工现场后，应根据设备或器材的特点和要求，分区按类堆放，专人负责看管，建立进入库场的台账和领用退料制度，采取切实有效的防火、防潮等技术措施，以免设备或器材损坏或丢失而影响安装施工。</w:t>
            </w:r>
          </w:p>
          <w:p w14:paraId="4DCAD9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现场管理措施</w:t>
            </w:r>
          </w:p>
          <w:p w14:paraId="62262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（1）为了加强工程领导力量，工程应由有着较丰富的工程管理经验的工程师任项目负责人，同时由有现场施工经验和管理能力的工程师担任现场施工负责人。</w:t>
            </w:r>
          </w:p>
          <w:p w14:paraId="04C13D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（2）加强施工计划安排。为了保质、保量、保工期、安全地完成这一任务，根据总工期要求，制订施工总进度控制计划，并在总进度控制计划的前提下制订日计划、周计划、旬计划及月计划等。</w:t>
            </w:r>
          </w:p>
          <w:p w14:paraId="4EA043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（3）根据施工设计，按照工程进度充分备足每一阶段的物料，安排好库存及运输，以保证施工工程中的物料供应。</w:t>
            </w:r>
          </w:p>
          <w:p w14:paraId="31F728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（4）安全措施。施工人员到现场施工，应采取必要措施。施工人员进入现场必须佩戴安全帽，现场严禁烟火。</w:t>
            </w:r>
          </w:p>
          <w:p w14:paraId="32A4D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（5）现场的临时用电，要遵循有关安全用电规定，服从现场建设单位代表的管理。</w:t>
            </w:r>
          </w:p>
          <w:p w14:paraId="0A30E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带电作业时，随时做好监护工作。登高作业时，要系好安全带，并进行监护。</w:t>
            </w:r>
          </w:p>
          <w:p w14:paraId="446DA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现场施工要求</w:t>
            </w:r>
          </w:p>
          <w:p w14:paraId="47124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熟悉工程状况后，项目组成员应分工明确，责任到人，同时还应发扬相互协作精神，严格按照各项规章制度、工作流程开展工作。</w:t>
            </w:r>
          </w:p>
          <w:p w14:paraId="2CF0F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（1）施工机械设备的准备。综合布线施工的大型施工工具或设备主要为电钻、电锤、切割机、网络测试仪、线缆端接工具、光纤熔接机、测试仪等。</w:t>
            </w:r>
          </w:p>
          <w:p w14:paraId="3CA26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（2）熟悉综合布线设计文件。掌握系统设计要点，熟悉施工图纸对施工班组技术</w:t>
            </w:r>
            <w:bookmarkStart w:id="0" w:name="_GoBack"/>
            <w:bookmarkEnd w:id="0"/>
            <w:r>
              <w:rPr>
                <w:rFonts w:hint="eastAsia" w:eastAsia="宋体"/>
                <w:sz w:val="24"/>
                <w:szCs w:val="24"/>
                <w:lang w:val="en-US" w:eastAsia="zh-CN"/>
              </w:rPr>
              <w:t>交底。</w:t>
            </w:r>
          </w:p>
          <w:p w14:paraId="756510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（3）制定工程实施方案。工程实施方案由项目经理负责组织，设计人员负责完成。应根据整体工程进度，编制综合布线工程施工组织设计方案，编制工程施工进度计划表。</w:t>
            </w:r>
          </w:p>
          <w:p w14:paraId="7E962C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（4）工程材料进场。应根据施工进度计划，设备、材料分批次采购进场并组织相关人员 ( 业主、监理公司 ) 检验。检验合格后应形成业主或监理公司签收的书面文件，以作为工程结算的文件之一。</w:t>
            </w:r>
          </w:p>
          <w:p w14:paraId="42BEC7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（5）工程实施。工程实施由项目经理负责组织，由工程技术组、质量管理组、施工班组完成。</w:t>
            </w:r>
          </w:p>
          <w:p w14:paraId="7DD83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在整个实施过程中，以控制工程质量为主、控制工程进度为辅，不断督导检查，以执行标准为设计依据，以工程验收标准为检验依据，保证工程顺利完成，直至工程竣工验收。综合布线工程施工包括图纸会审、施工管理、技术交底、工程变更、施工步骤、施工配合、施工人员管理、施工工艺等。</w:t>
            </w:r>
          </w:p>
          <w:p w14:paraId="6C158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4. 施工现场人员管理</w:t>
            </w:r>
          </w:p>
          <w:p w14:paraId="3C776F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对施工现场人员的管理包括以下几个方面。</w:t>
            </w:r>
          </w:p>
          <w:p w14:paraId="1846B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（1）制定施工人员档案。</w:t>
            </w:r>
          </w:p>
          <w:p w14:paraId="6F5794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（2）佩戴有效工作证件。</w:t>
            </w:r>
          </w:p>
          <w:p w14:paraId="24D3C2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（3）所有进入场地的员工均给予一份安全守则。</w:t>
            </w:r>
          </w:p>
          <w:p w14:paraId="0DB988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（4）加强离职或被解雇人员的管理。</w:t>
            </w:r>
          </w:p>
          <w:p w14:paraId="63B201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（5）项目经理要制定施工人员分配表。</w:t>
            </w:r>
          </w:p>
          <w:p w14:paraId="20450F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（6）项目经理每天向施工人员发出工作责任表。</w:t>
            </w:r>
          </w:p>
          <w:p w14:paraId="2F7A74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（7）制定定期会议制度。</w:t>
            </w:r>
          </w:p>
          <w:p w14:paraId="4582C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（8）每天均巡查施工场地。</w:t>
            </w:r>
          </w:p>
          <w:p w14:paraId="7258C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（9）按工程进度制定施工人员每天的上班时间。</w:t>
            </w:r>
          </w:p>
          <w:p w14:paraId="6E0E8E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10）对现场施工人员的行为进行管理，要求项目经理部组织制定施工人员行为规范和奖惩制度，教育员工遵守当地的法律法规、风俗习惯、施工现场的规章制度，保证施工现场的秩序。同时项目经理部应明确由施工现场负责人对此进行检查监督，对于违规者应及时予以处罚。</w:t>
            </w:r>
          </w:p>
          <w:p w14:paraId="17F1DA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5. 材料管理</w:t>
            </w:r>
          </w:p>
          <w:p w14:paraId="7968DE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（1）做好材料采购前的基础工作。工程开工前，项目经理、施工员必须反复认真地对工程设计图样进行熟悉和分析，根据工程测定材料实际数量提出材料申请计划，申请计划应做到准确无误。</w:t>
            </w:r>
          </w:p>
          <w:p w14:paraId="3DC0D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（2）各分项工程都要重视控制材料的使用。</w:t>
            </w:r>
          </w:p>
          <w:p w14:paraId="541670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 xml:space="preserve">（3）在材料领取、入库出库、投料、用料、补料、退料和废料回收等环节上尤其要引起重视，严格管理。 </w:t>
            </w:r>
          </w:p>
          <w:p w14:paraId="20F3FD1A">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思考、讨论上述内容。</w:t>
            </w:r>
          </w:p>
        </w:tc>
      </w:tr>
      <w:tr w14:paraId="5A32AE8A">
        <w:trPr>
          <w:trHeight w:val="680" w:hRule="atLeast"/>
          <w:jc w:val="center"/>
        </w:trPr>
        <w:tc>
          <w:tcPr>
            <w:tcW w:w="1541" w:type="dxa"/>
            <w:tcBorders>
              <w:tl2br w:val="nil"/>
              <w:tr2bl w:val="nil"/>
            </w:tcBorders>
            <w:shd w:val="clear" w:color="auto" w:fill="D7F8FF"/>
            <w:vAlign w:val="center"/>
          </w:tcPr>
          <w:p w14:paraId="118AD99D">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16A961D">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eastAsia="宋体"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11ECCB60">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编写网络综合布线工程管理相关制度的基础知识，从网络综合布线工程管理相关制度的定义（规范工程全流程，保障施工质量、安全与效率的指导性文件）到其具体分类方式（按管理环节分为施工管理制度、质量验收制度、安全管控制度、文档归档制度），通过理论讲解和实践活动相结合的方式，帮助同学们建立起对制度编写的基本认知框架。实践环节中，同学们通过参考行业规范（如 GB 50311《综合布线系统工程设计规范》），分组编写某办公楼综合布线工程的安全管控制度片段，将抽象的制度编写原则具象化，加深了对条款表述准确性、责任划分清晰度的理解。最后的讨论环节激发了同学们的思考，大家积极分享了在编写中平衡制度严谨性与执行灵活性的见解。整节课注重理论与实践的结合，为后续学习网络综合布线工程全流程管理奠定了坚实基础，希望同学们课后能够结合实际工程案例，分析现有管理制度的优缺点，尝试优化制度条款，巩固所学知识。</w:t>
            </w:r>
          </w:p>
        </w:tc>
      </w:tr>
      <w:tr w14:paraId="58F98F88">
        <w:trPr>
          <w:trHeight w:val="680" w:hRule="atLeast"/>
          <w:jc w:val="center"/>
        </w:trPr>
        <w:tc>
          <w:tcPr>
            <w:tcW w:w="1541" w:type="dxa"/>
            <w:tcBorders>
              <w:tl2br w:val="nil"/>
              <w:tr2bl w:val="nil"/>
            </w:tcBorders>
            <w:shd w:val="clear" w:color="auto" w:fill="D7F8FF"/>
            <w:vAlign w:val="center"/>
          </w:tcPr>
          <w:p w14:paraId="7BBF55E8">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eastAsia="宋体"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6FB7606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3E1D716C">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简述施工管理的范围。</w:t>
            </w:r>
          </w:p>
        </w:tc>
      </w:tr>
      <w:tr w14:paraId="4FEE637C">
        <w:trPr>
          <w:trHeight w:val="680" w:hRule="atLeast"/>
          <w:jc w:val="center"/>
        </w:trPr>
        <w:tc>
          <w:tcPr>
            <w:tcW w:w="1541" w:type="dxa"/>
            <w:tcBorders>
              <w:tl2br w:val="nil"/>
              <w:tr2bl w:val="nil"/>
            </w:tcBorders>
            <w:shd w:val="clear" w:color="auto" w:fill="D7F8FF"/>
            <w:vAlign w:val="center"/>
          </w:tcPr>
          <w:p w14:paraId="31FC42AB">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064EEDA">
            <w:pPr>
              <w:keepNext w:val="0"/>
              <w:keepLines w:val="0"/>
              <w:suppressLineNumbers w:val="0"/>
              <w:spacing w:before="0" w:beforeAutospacing="0" w:after="0" w:afterAutospacing="0" w:line="240" w:lineRule="auto"/>
              <w:ind w:left="0" w:right="0" w:hanging="8"/>
              <w:jc w:val="center"/>
              <w:rPr>
                <w:rFonts w:hint="default" w:ascii="Times New Roman" w:hAnsi="Times New Roman" w:eastAsia="宋体"/>
                <w:b/>
                <w:sz w:val="24"/>
                <w:szCs w:val="24"/>
              </w:rPr>
            </w:pPr>
            <w:r>
              <w:rPr>
                <w:rFonts w:hint="default" w:ascii="Times New Roman" w:hAnsi="Times New Roman" w:eastAsia="宋体"/>
                <w:sz w:val="24"/>
                <w:szCs w:val="24"/>
              </w:rPr>
              <w:t>（</w:t>
            </w:r>
            <w:r>
              <w:rPr>
                <w:rFonts w:hint="eastAsia" w:ascii="Times New Roman" w:hAnsi="Times New Roman" w:eastAsia="宋体"/>
                <w:sz w:val="24"/>
                <w:szCs w:val="24"/>
                <w:lang w:val="en-US" w:eastAsia="zh-CN"/>
              </w:rPr>
              <w:t>40</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0FC5331A">
            <w:pPr>
              <w:keepNext w:val="0"/>
              <w:keepLines w:val="0"/>
              <w:suppressLineNumbers w:val="0"/>
              <w:spacing w:before="0" w:beforeAutospacing="0" w:after="0" w:afterAutospacing="0" w:line="360" w:lineRule="auto"/>
              <w:ind w:left="0" w:right="0"/>
              <w:rPr>
                <w:rFonts w:hint="eastAsia" w:ascii="Times New Roman" w:hAnsi="Times New Roman" w:eastAsia="宋体"/>
                <w:b/>
                <w:color w:val="C00000"/>
                <w:sz w:val="24"/>
                <w:szCs w:val="24"/>
                <w:lang w:eastAsia="zh-CN"/>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标题</w:t>
            </w:r>
            <w:r>
              <w:rPr>
                <w:rFonts w:hint="eastAsia" w:ascii="Times New Roman" w:hAnsi="Times New Roman" w:eastAsia="宋体"/>
                <w:b/>
                <w:color w:val="C00000"/>
                <w:sz w:val="24"/>
                <w:szCs w:val="24"/>
              </w:rPr>
              <w:t>】</w:t>
            </w:r>
            <w:r>
              <w:rPr>
                <w:rFonts w:hint="eastAsia" w:ascii="Times New Roman" w:hAnsi="Times New Roman" w:eastAsia="宋体"/>
                <w:b w:val="0"/>
                <w:bCs/>
                <w:color w:val="C00000"/>
                <w:sz w:val="24"/>
                <w:szCs w:val="24"/>
                <w:lang w:val="en-US" w:eastAsia="zh-CN"/>
              </w:rPr>
              <w:t>网络综合布线工程的测试</w:t>
            </w:r>
          </w:p>
          <w:p w14:paraId="1CBDF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任务导入</w:t>
            </w:r>
          </w:p>
          <w:p w14:paraId="636597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实践证明，计算机网络系统 70% 的故障发生在综合布线系统，因此综合布线工程的质量非常重要，在安装施工中必须规范施工并掌握链路测试方法。超算科技江北分公司要求对办公楼的网络综合布线系统进行链路测试，主要包括铜缆链路测试和光纤链路测试。</w:t>
            </w:r>
          </w:p>
          <w:p w14:paraId="201B2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任务目标</w:t>
            </w:r>
          </w:p>
          <w:p w14:paraId="3BA61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1. 能掌握铜缆测试技术，完成基本的铜缆测试。</w:t>
            </w:r>
          </w:p>
          <w:p w14:paraId="3169A5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2. 能掌握光纤测试技术，完成基本的光纤测试。</w:t>
            </w:r>
          </w:p>
          <w:p w14:paraId="78EDB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3. 会使用综合布线系统的常用测试工具。</w:t>
            </w:r>
          </w:p>
          <w:p w14:paraId="26C9B8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4. 能培养严谨的工作态度和高度的责任心。</w:t>
            </w:r>
            <w:r>
              <w:rPr>
                <w:rFonts w:hint="eastAsia" w:ascii="Times New Roman" w:hAnsi="Times New Roman" w:eastAsia="宋体"/>
                <w:b/>
                <w:color w:val="000000" w:themeColor="text1"/>
                <w:sz w:val="24"/>
                <w:szCs w:val="24"/>
                <w:lang w:eastAsia="zh-CN"/>
                <w14:textFill>
                  <w14:solidFill>
                    <w14:schemeClr w14:val="tx1"/>
                  </w14:solidFill>
                </w14:textFill>
              </w:rPr>
              <w:t xml:space="preserve"> </w:t>
            </w:r>
          </w:p>
          <w:p w14:paraId="2AE2E5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b/>
                <w:color w:val="C00000"/>
                <w:sz w:val="24"/>
                <w:szCs w:val="24"/>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内容</w:t>
            </w:r>
            <w:r>
              <w:rPr>
                <w:rFonts w:hint="eastAsia" w:ascii="Times New Roman" w:hAnsi="Times New Roman" w:eastAsia="宋体"/>
                <w:b/>
                <w:color w:val="C00000"/>
                <w:sz w:val="24"/>
                <w:szCs w:val="24"/>
              </w:rPr>
              <w:t>】</w:t>
            </w:r>
          </w:p>
          <w:p w14:paraId="60F9D0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b/>
                <w:color w:val="C00000"/>
                <w:sz w:val="24"/>
                <w:szCs w:val="24"/>
                <w:lang w:val="en-US" w:eastAsia="zh-CN"/>
              </w:rPr>
            </w:pPr>
          </w:p>
          <w:p w14:paraId="51ADD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2E82C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综合布线系统工程的测试主要针对各个子系统（如水平布线子系统、垂直布线子系统等）中的物理链路进行质量检测。测试的对象有铜缆链路和光纤链路。</w:t>
            </w:r>
          </w:p>
          <w:p w14:paraId="18CA12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铜缆链路测试主要针对工作区子系统、水平布线子系统和垂直布线子系统中的铜缆链路部分测试和铜缆跳线测试。当前主要的测试对象是双绞线。光纤链路测试主要针对垂直子系统和建筑群子系统中的光缆链路部分测试和光纤跳线测试。主要的测试对象是单模光纤或多模光纤。</w:t>
            </w:r>
          </w:p>
          <w:p w14:paraId="663DB9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0762C8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测试双绞线链路</w:t>
            </w:r>
          </w:p>
          <w:p w14:paraId="773F3B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（1）电缆的验证测试。电缆的验证测试是测试电缆的基本安装情况。在综合布线工程的施工过程中，常见的连接故障是电缆标签错误、连接开路、双绞电缆接线图错误（如错对、极性接反、串绕等）以及短路。</w:t>
            </w:r>
          </w:p>
          <w:p w14:paraId="3D284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① 开路和短路。开路是指不能保证电缆链路一端到另一端的连通性；短路通常为插座中不止一个插针连在同一根铜线上。</w:t>
            </w:r>
          </w:p>
          <w:p w14:paraId="56834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② 反接。同一对线在两端针位接反的错误，如一端为 1 -2，另一端为 2 -1。</w:t>
            </w:r>
          </w:p>
          <w:p w14:paraId="47AE49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③ 错对。在双绞线布线过程中必须采用统一标准 T568A 或 T568B，如果两条缆线连接时一条缆线的 1 -2 接在另一条缆线的 3 - 6 针上，则形成错对。</w:t>
            </w:r>
          </w:p>
          <w:p w14:paraId="264F5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④ 串绕。串绕就是将原来的两对线分别拆开，重新组成新的线对。</w:t>
            </w:r>
          </w:p>
          <w:p w14:paraId="2214B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（2）电缆的认证测试。电缆认证测试是指电缆除了正确的连接以外，还要满足有关标准，即安装好的电缆的电气参数是否达到有关规定所要求的标准。</w:t>
            </w:r>
          </w:p>
          <w:p w14:paraId="5FEF9A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已安装好的布线系统链路图，下面以用 FLUKE DTX 电缆分析仪，选择 TIA/EIA 标准、测试 UTP CAT 6 永久链路为例介绍认证测试过程。</w:t>
            </w:r>
          </w:p>
          <w:p w14:paraId="5AA4C4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① 连接被测链路。将测试仪主机和远端机连上被测链路，因为永久链路测试，就必须用永久链路适配器连接，如果是信道测试，就是用原跳线连接仪表。</w:t>
            </w:r>
          </w:p>
          <w:p w14:paraId="143D34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② 按绿键启动 DTX，并选择中文或者中英文界面。</w:t>
            </w:r>
          </w:p>
          <w:p w14:paraId="15BBB1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③ 选择双绞线、测试类型和标准。</w:t>
            </w:r>
          </w:p>
          <w:p w14:paraId="04BB16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旋转至 SETUP， 选 择“Twisted Pair” →“Cable Type” →“UTP” →“CAT 6 UTP”→“Test Limit”→“TIA CAT 6 Perm.Link”。</w:t>
            </w:r>
          </w:p>
          <w:p w14:paraId="32BE0F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④ 按 TEST 键，启动自动测试，最快 9 秒钟完成一条正确链路的测试。</w:t>
            </w:r>
          </w:p>
          <w:p w14:paraId="3F070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⑤ 在 DTX 系列测试仪中为测试结果命名。</w:t>
            </w:r>
          </w:p>
          <w:p w14:paraId="0E4B13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⑥ 保存测试结果。测试通过后，按“SAVE”键保存测试结果，结果可保存于内部存储器和 MMC 多媒体卡。</w:t>
            </w:r>
          </w:p>
          <w:p w14:paraId="423453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⑦ 故障诊断。测试中出现“失败”时，要进行相应的故障诊断测试。按故障信息键（F1 键）直观显示故障信息并提示解决方法，再启动 HDTDR 和 HDTDX 功能，扫描定位故障。查找故障后，排除故障，重新进行自动测试，指导指标全部通过为止。</w:t>
            </w:r>
          </w:p>
          <w:p w14:paraId="2FAB5C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⑧ 结果送管理软件 LinkWare。当所有要测的信息点测完成后，将移动存储卡上的结果送到安装在计算机上的管理软件 LinkWare 进行管理分析。</w:t>
            </w:r>
          </w:p>
          <w:p w14:paraId="7BFA31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⑨ 打印输出。可以打印输出，也可通过串口将测试主机直接连打印机打印输出。</w:t>
            </w:r>
          </w:p>
          <w:p w14:paraId="751A3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测试光纤链路</w:t>
            </w:r>
          </w:p>
          <w:p w14:paraId="40FCA7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光纤的现场工程测试分为一级测试和二级测试。一级测试是用光源和光功率计测试光纤的衰减值，并依据标准判断是否合格，附带测试光纤的长度。二级测试是“通用型”测试和“应用型”测试，主要测试光纤的衰减值和长度是否符合标准规定的要求，以此来判断安装的光纤链路是否合格。</w:t>
            </w:r>
          </w:p>
          <w:p w14:paraId="7A6F57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（1）光纤链路测试模型。</w:t>
            </w:r>
          </w:p>
          <w:p w14:paraId="1AC01D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（2）测试对象。光缆可以为水平光缆、建筑物主干光缆和建筑群主干光缆。光连接器件可以为工作区电信间 FD、设备间 BD、CD 的 SC、ST、SFF 连接器件。</w:t>
            </w:r>
          </w:p>
          <w:p w14:paraId="037474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（3）测试步骤。</w:t>
            </w:r>
          </w:p>
          <w:p w14:paraId="2BB40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① 将 FLUKE-DTX 设备的主机和远端机都接好 FTM 测试模块。</w:t>
            </w:r>
          </w:p>
          <w:p w14:paraId="253793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② 设备主机接在控制室光纤配线架，远端机接入到大楼光纤配线架的信息点进行测试。</w:t>
            </w:r>
          </w:p>
          <w:p w14:paraId="49BE3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③ 设置 FLUKE-DTX 主机的测试标准，将旋钮旋至“SETUP”，先选择测试缆线类型为“Fiber”，再选择测试标准为“Tier2”。</w:t>
            </w:r>
          </w:p>
          <w:p w14:paraId="05BC71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④ 接入测试缆线接口。</w:t>
            </w:r>
          </w:p>
          <w:p w14:paraId="761711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⑤ 缆线测试，将旋钮旋至“AUTO TEST”，按 &lt;TEST&gt; 键，设备将自动测试缆线。</w:t>
            </w:r>
          </w:p>
          <w:p w14:paraId="288D5D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⑥ 保存测试结果，直接按 &lt;SAVE&gt; 键即可对结果进行保存。</w:t>
            </w:r>
          </w:p>
          <w:p w14:paraId="06BCB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（4）分析测试数据。通过数据线将结果导入计算机中，使用 Link Ware 软件即可查看和分析相关结果。</w:t>
            </w:r>
          </w:p>
          <w:p w14:paraId="4B2597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质量要求：测试适配器选择正确、测试标准选择正确、测试结果保存与导出正确。</w:t>
            </w:r>
          </w:p>
          <w:p w14:paraId="408DE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6029AD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6 -4 的内容进行自我评价和小组内相互评价，教师根据实践报告认真填写评价及指导建议。</w:t>
            </w:r>
          </w:p>
          <w:p w14:paraId="7ADA0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eastAsia="宋体"/>
              </w:rPr>
            </w:pPr>
            <w:r>
              <w:drawing>
                <wp:inline distT="0" distB="0" distL="114300" distR="114300">
                  <wp:extent cx="4436745" cy="1330325"/>
                  <wp:effectExtent l="0" t="0" r="8255" b="15875"/>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7"/>
                          <a:stretch>
                            <a:fillRect/>
                          </a:stretch>
                        </pic:blipFill>
                        <pic:spPr>
                          <a:xfrm>
                            <a:off x="0" y="0"/>
                            <a:ext cx="4436745" cy="1330325"/>
                          </a:xfrm>
                          <a:prstGeom prst="rect">
                            <a:avLst/>
                          </a:prstGeom>
                          <a:noFill/>
                          <a:ln>
                            <a:noFill/>
                          </a:ln>
                        </pic:spPr>
                      </pic:pic>
                    </a:graphicData>
                  </a:graphic>
                </wp:inline>
              </w:drawing>
            </w:r>
          </w:p>
          <w:p w14:paraId="353047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知识链接</w:t>
            </w:r>
          </w:p>
          <w:p w14:paraId="03F2D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color w:val="EC51F8"/>
                <w:sz w:val="24"/>
                <w:szCs w:val="24"/>
                <w:lang w:val="en-US" w:eastAsia="zh-CN"/>
              </w:rPr>
              <w:t>1. 综合布线系统的测试内容</w:t>
            </w:r>
          </w:p>
          <w:p w14:paraId="310D69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（1）工作间到设备间的连通状况。</w:t>
            </w:r>
          </w:p>
          <w:p w14:paraId="11F4C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（2）主干线的连通状况。</w:t>
            </w:r>
          </w:p>
          <w:p w14:paraId="3A2C22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（3）跳线测试。</w:t>
            </w:r>
          </w:p>
          <w:p w14:paraId="4D482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（4）信息传输速率、衰减、距离、接线图、近端串扰等参数的测试。</w:t>
            </w:r>
          </w:p>
          <w:p w14:paraId="67F872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color w:val="EC51F8"/>
                <w:sz w:val="24"/>
                <w:szCs w:val="24"/>
                <w:lang w:val="en-US" w:eastAsia="zh-CN"/>
              </w:rPr>
              <w:t>2. 永久链路测试与信道链路测试</w:t>
            </w:r>
          </w:p>
          <w:p w14:paraId="30D1B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永久链路测试一般是指从配线架上的跳线插座算起，到工作区墙面板插座位置，对这段链路进行的物理性能测试。</w:t>
            </w:r>
          </w:p>
          <w:p w14:paraId="32761B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信道测试一般是指从交换机端口上设备跳线的 RJ-45 水晶头算起，到服务器网卡前用户跳线的 RJ -45 水晶头结束，对这段链路进行的物理性能测试。</w:t>
            </w:r>
          </w:p>
          <w:p w14:paraId="1347B9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光纤系统标准</w:t>
            </w:r>
          </w:p>
          <w:p w14:paraId="0C80E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系统标准是独立于应用的光纤链路现场认证测试标准。光纤系统标准对于不同光纤系统的测试极限值是不固定的，它是基于电缆长度、适配器和接合点的可变标准。目前大多数光纤链路现场认证测试使用这种标准。世界范围内公认的标准主要有北美地区的 BIA/TIA 568B 标准和国际标准化组织的 ISO/IEC 11801 标准。EIA/TIA 568B 和 ISOECIS 11801 推荐使用 62.5 um/125 um 多模光缆、50 um/125 um 多模光缆和8.3 um/125 um 多模光缆。</w:t>
            </w:r>
          </w:p>
          <w:p w14:paraId="63087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4. 光纤应用系统标准</w:t>
            </w:r>
          </w:p>
          <w:p w14:paraId="2F2E8D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光纤应用系统标准是基于安装光纤的特定应用的光纤链路现场认证测试标准。每种不同的光纤通信系统的测试标准是固定的。常用的光纤应用系统有 100BaseFX、1000Base SX、1000Base LX、ATM 等。</w:t>
            </w:r>
          </w:p>
          <w:p w14:paraId="1EB98F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知识拓展</w:t>
            </w:r>
          </w:p>
          <w:p w14:paraId="4A4AD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超 5 类双绞线的测试参数</w:t>
            </w:r>
          </w:p>
          <w:p w14:paraId="63954A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（1）接线图（Wire Map）：检查接线方式是否符合规范，常见的错误接线方式有开路（断路）、短路、反向、交错、分叉线对及其他错误。</w:t>
            </w:r>
          </w:p>
          <w:p w14:paraId="438925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（2）长度（Length）：对铜缆长度进行的测量应用了一种被称为 TDR（时间域反射测量）的测试技术。测试仪从铜缆一端发出一个脉冲波，在脉冲波行进时如果碰到阻抗的变化，如开路、短路或不正常接线时，则会将部分或全部的脉冲波能量反射回测试仪。</w:t>
            </w:r>
          </w:p>
          <w:p w14:paraId="07CF23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（3）衰减（Insertion loss）：电信号强度会随着电缆长度而逐渐减弱，这种信号减弱就称为衰减。它是以负的分贝数（dB）来表示的。数值越大表示衰减量越大，衰减值越小越好。</w:t>
            </w:r>
          </w:p>
          <w:p w14:paraId="338CE1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（4）近端串扰（NBXT）：近端串扰是指在与发送端处于同一边的接收端处所感应到的从发送线对感应过来的串扰信号。NBXT 隔离度用 dB 表示，NBXT 隔离度越大，表示感应到其他线对上的干扰信号越小，隔离程度越高，电缆质量也就越好。</w:t>
            </w:r>
          </w:p>
          <w:p w14:paraId="73ED16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（5）近端串扰功率和（PS NEXT）：表示在线对数大于 4 的电缆中，所有的干扰线对与受扰线对间的 NEXT 值之和。同样 PS NEXT 越大越好。</w:t>
            </w:r>
          </w:p>
          <w:p w14:paraId="12F54B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（6）远端串扰（FEXT）：表示信号从远端的发送器耦合进入邻近线对内，所产生的在近端测量的串扰。FEXT 隔离度用 dB 表示。同样 PBXT 隔离度越大，电缆质量也就越好。</w:t>
            </w:r>
          </w:p>
          <w:p w14:paraId="5CFEDC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（7）等级远端串扰（BLPEXT）：与 PEXT 基本相同，不同点在于 BLFEXT 中远端感应的信号是相对于别的线对上的信号经过衰减后到达远端的信号。ELPEXT 隔离度用dB 表示。同样 ELFEXT 隔离度越大，电缆质量也就越好。</w:t>
            </w:r>
          </w:p>
          <w:p w14:paraId="5A497E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（8）等电平远端串扰（PS ELFEXT）：PS ELFEXT 与 PS NEXT 一样，考虑多线对间的影响，同样 PS ELFEXT 值越大越好。</w:t>
            </w:r>
          </w:p>
          <w:p w14:paraId="13E06A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（9）回波损耗（RL）：是由于阻抗失配所引起的一种能量反射的测量。</w:t>
            </w:r>
          </w:p>
          <w:p w14:paraId="1B499A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（10）传播延迟（Propagation Delay）：是指一个信号从电缆一端传到另一端所需要的时间，传播延迟值越小越好。</w:t>
            </w:r>
          </w:p>
          <w:p w14:paraId="469038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光纤链路现场认证测试</w:t>
            </w:r>
          </w:p>
          <w:p w14:paraId="682C6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p>
          <w:p w14:paraId="0212A0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对于光纤系统需要保证的是在接收端收到的信号应足够大，由于光纤传输数据时使用的是光信号，所以它不产生磁场，也就不会受到电磁干扰和射频干扰，不需要对NEXT 等参数进行测试，所以光纤系统的测试不同于铜导线系统的测试。</w:t>
            </w:r>
          </w:p>
          <w:p w14:paraId="121CE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在光纤的应用中，光纤本身的种类很多，但光纤及其系统的基本测试参数大致都是相同的。在光纤链路现场认证测试中，主要是对光纤的光学特性和传输特性进行测试。光纤的光学特性和传输特性对光纤通信系统的工作波长、传输速率、传输容量、传输距离和信号质量等有重大影响。但由于光纤的色散、截止波长、场直径、基带响应、数值孔径、有效面积、微弯敏感性等特性不受安装方法的有害影响，它们应由光纤制造厂家进行测试，不需进行现场测试。在 EIA/TIA 568B 中规定光纤通信链路现场测试所需的单一性能参数为链路损失。</w:t>
            </w:r>
          </w:p>
          <w:p w14:paraId="58CB9D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（1）光功率的测试。对光纤工程最基本的测试是在 EIA 的 FOTP-95 标准中定义的光功率测试，它确定了通过光纤传输的信号的强度，这是损失测试的基础。测试时把光功率计放在光纤的一端，把光源放在光纤的另一端。</w:t>
            </w:r>
          </w:p>
          <w:p w14:paraId="72F1D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光学连通性的测试。光纤通信系统的光学连通性表示光纤通信系统传输光功率的能力。通过在光纤通信系统的一端连接光源，在另一端连接光功率计，通过检测到的输出光功率可以确定光纤通信系统的光学连通性。当输出端测到的光功率与输入端实际输入的光功率的比值小于一定的数值时，则认为这条链路光学不连通。</w:t>
            </w:r>
          </w:p>
          <w:p w14:paraId="606C1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光功率损失测试。光功率损失这一通用于光纤领域的术语代表了光纤通信链路的衰减。衰减是光纤通信链路的一个重要的传输参数，它的单位是分贝（dB）。它表明了光纤通信链路对光能的传输损耗（传导特性），其对光纤质量的评定和确定光纤通信系统的中继距离起到决定性的作用。光信号在光纤中传播时，平均光功率沿光纤长度方向成指数规律减少。在一根光纤网线中，从发送端到接收端之间存在的衰减越大，两者间可能传输的最大距离就越短。衰减对所有种类的网线系统在传输速度和传输距离上都产生负面的影响，但因为光纤传输中不存在串扰、BMI、RFI 等问题，所以光纤传输对衰减的反应特别敏感。</w:t>
            </w:r>
          </w:p>
          <w:p w14:paraId="0F8B8F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光功率损失测试实际上就是衰减的测试，它测试的是信号在通过光纤后的减弱。光纤比铜缆更能抵制衰减，但即使网络没有使用非常长的光纤传输，仍然存在着显著的损失，这不是光纤本身的问题，而是安装时的连接问题。光功率损失测试验证了是否正确安装了光纤和连接器。光功率损失测试的方法类似于光功率测试，只不过是使用一个标有刻度的光源产生信号，使用一个光功率计来测量实际到达光纤另一端的信号强度。光源和光功率计组合后称为光损失测试器（OLTS）。</w:t>
            </w:r>
          </w:p>
          <w:p w14:paraId="5FA6A2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测试时首先将光源和光功率计分别连接到参照测试光纤的两端，以参照测试光纤作为一个基准，对照它来度量信号在安装的光纤路径上的损失。在参照测试光纤上测量了光源功率之后，取下光功率计，将参照测试光纤连同光源连接到要测试的光纤的另一端，而将光功率计连到另一端。测试完成后将两个测试结果相比较，就可以计算出实际链路的信号损失。这种测试有效地测量了在光纤中和参照测试光纤所连接的连接器上的损失量。</w:t>
            </w:r>
          </w:p>
          <w:p w14:paraId="15540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对于水平光纤链路的测量仅需在一个波长上进行测试，这是因为由于光纤长度短（小于 90 m），因波长变化而引起的衰减是不明显的，衰减测试结果应小于 2.0 dB。</w:t>
            </w:r>
          </w:p>
          <w:p w14:paraId="172F72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对于基干光纤链路应以两个操作波长进行测试，即多模基干光纤链路使用 850 nm 和1 300 nm 波长进行测试，单模基干光纤链路使用 1 310 nm 和 1 550 nm 波长进行测量。1 550 nm 的测试能确定光纤是否支持波分复用，还能发现在 1 310 nm 测试中不能发现的由微小的弯曲所导致的损失。由于在基干光纤链路现场测试中基干长度和可能的接头数取决于现场条件，所以应使用光纤链路衰减方程式根据 EIA/TIA 568B 中规定的部件衰减值来确定验收测试的极限值。</w:t>
            </w:r>
          </w:p>
          <w:p w14:paraId="302507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测试综合布线的接地</w:t>
            </w:r>
          </w:p>
          <w:p w14:paraId="3E9880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综合布线系统的接地主要是指机架接地和屏蔽电缆接地，机架接地和一般的弱电设备接地方式和接地电阻要求是相同的，一般使用接地电阻测试仪进行测试。</w:t>
            </w:r>
          </w:p>
          <w:p w14:paraId="1C731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 xml:space="preserve">屏蔽电缆的接地端一般与机架或者机架接地端相连，对于屏蔽层的直流连通性测试标准中没有数值要求，只要求连通即可。测试方法：在电缆认证测试仪设置菜单中选择测试电缆类型为 FTP，即可在测试电缆参数的同时自动增加对屏蔽层连通性的测试，结果自动合并保留在参数测试报告中。 </w:t>
            </w:r>
          </w:p>
          <w:p w14:paraId="3178994F">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思考、讨论上述内容。</w:t>
            </w:r>
          </w:p>
        </w:tc>
      </w:tr>
      <w:tr w14:paraId="06FD5725">
        <w:trPr>
          <w:trHeight w:val="680" w:hRule="atLeast"/>
          <w:jc w:val="center"/>
        </w:trPr>
        <w:tc>
          <w:tcPr>
            <w:tcW w:w="1541" w:type="dxa"/>
            <w:tcBorders>
              <w:tl2br w:val="nil"/>
              <w:tr2bl w:val="nil"/>
            </w:tcBorders>
            <w:shd w:val="clear" w:color="auto" w:fill="D7F8FF"/>
            <w:vAlign w:val="center"/>
          </w:tcPr>
          <w:p w14:paraId="2A17C7E4">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E23DC0F">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eastAsia="宋体"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45925039">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网络综合布线工程测试的基础知识，从网络综合布线工程测试的定义（验证布线链路性能、保障网络传输质量的关键环节）到其具体分类方式（按测试对象分为铜缆测试、光缆测试，按测试阶段分为链路测试、永久链路测试），通过理论讲解和实践活动相结合的方式，帮助同学们建立起对布线测试技术的基本认知框架。实践环节中，同学们通过操作 FLUKE 等专业测试仪器，对模拟布线链路进行参数检测，将抽象的测试理论知识具象化，加深了对测试流程、数据解读及故障定位的理解。最后的讨论环节激发了同学们的思考，大家积极分享了在复杂布线环境中优化测试方案的见解。整节课注重理论与实践的结合，为后续学习网络综合布线工程验收与维护奠定了坚实基础，希望同学们课后能够结合实际布线项目案例，分析测试数据背后的问题，尝试制定针对性改进方案，巩固所学知识。</w:t>
            </w:r>
          </w:p>
        </w:tc>
      </w:tr>
      <w:tr w14:paraId="70943308">
        <w:trPr>
          <w:trHeight w:val="680" w:hRule="atLeast"/>
          <w:jc w:val="center"/>
        </w:trPr>
        <w:tc>
          <w:tcPr>
            <w:tcW w:w="1541" w:type="dxa"/>
            <w:tcBorders>
              <w:tl2br w:val="nil"/>
              <w:tr2bl w:val="nil"/>
            </w:tcBorders>
            <w:shd w:val="clear" w:color="auto" w:fill="D7F8FF"/>
            <w:vAlign w:val="center"/>
          </w:tcPr>
          <w:p w14:paraId="37429ED7">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eastAsia="宋体"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06B900D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504696E5">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简述光纤链路现场认证测试。</w:t>
            </w:r>
          </w:p>
        </w:tc>
      </w:tr>
      <w:tr w14:paraId="22AAA6E8">
        <w:trPr>
          <w:trHeight w:val="680" w:hRule="atLeast"/>
          <w:jc w:val="center"/>
        </w:trPr>
        <w:tc>
          <w:tcPr>
            <w:tcW w:w="1541" w:type="dxa"/>
            <w:tcBorders>
              <w:tl2br w:val="nil"/>
              <w:tr2bl w:val="nil"/>
            </w:tcBorders>
            <w:shd w:val="clear" w:color="auto" w:fill="D7F8FF"/>
            <w:vAlign w:val="center"/>
          </w:tcPr>
          <w:p w14:paraId="2B22FE9C">
            <w:pPr>
              <w:keepNext w:val="0"/>
              <w:keepLines w:val="0"/>
              <w:suppressLineNumbers w:val="0"/>
              <w:spacing w:before="0" w:beforeAutospacing="0" w:after="0" w:afterAutospacing="0" w:line="24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C601DA4">
            <w:pPr>
              <w:keepNext w:val="0"/>
              <w:keepLines w:val="0"/>
              <w:suppressLineNumbers w:val="0"/>
              <w:spacing w:before="0" w:beforeAutospacing="0" w:after="0" w:afterAutospacing="0" w:line="240" w:lineRule="auto"/>
              <w:ind w:left="0" w:right="0" w:hanging="8"/>
              <w:jc w:val="center"/>
              <w:rPr>
                <w:rFonts w:hint="default" w:ascii="Times New Roman" w:hAnsi="Times New Roman" w:eastAsia="宋体"/>
                <w:b/>
                <w:sz w:val="24"/>
                <w:szCs w:val="24"/>
              </w:rPr>
            </w:pPr>
            <w:r>
              <w:rPr>
                <w:rFonts w:hint="default" w:ascii="Times New Roman" w:hAnsi="Times New Roman" w:eastAsia="宋体"/>
                <w:sz w:val="24"/>
                <w:szCs w:val="24"/>
              </w:rPr>
              <w:t>（</w:t>
            </w:r>
            <w:r>
              <w:rPr>
                <w:rFonts w:hint="eastAsia" w:ascii="Times New Roman" w:hAnsi="Times New Roman" w:eastAsia="宋体"/>
                <w:sz w:val="24"/>
                <w:szCs w:val="24"/>
                <w:lang w:val="en-US" w:eastAsia="zh-CN"/>
              </w:rPr>
              <w:t>40</w:t>
            </w:r>
            <w:r>
              <w:rPr>
                <w:rFonts w:hint="eastAsia" w:ascii="Times New Roman" w:hAnsi="Times New Roman" w:eastAsia="宋体"/>
                <w:sz w:val="24"/>
                <w:szCs w:val="24"/>
              </w:rPr>
              <w:t>min</w:t>
            </w:r>
            <w:r>
              <w:rPr>
                <w:rFonts w:hint="default" w:ascii="Times New Roman" w:hAnsi="Times New Roman" w:eastAsia="宋体"/>
                <w:sz w:val="24"/>
                <w:szCs w:val="24"/>
              </w:rPr>
              <w:t>）</w:t>
            </w:r>
          </w:p>
        </w:tc>
        <w:tc>
          <w:tcPr>
            <w:tcW w:w="8664" w:type="dxa"/>
            <w:tcBorders>
              <w:tl2br w:val="nil"/>
              <w:tr2bl w:val="nil"/>
            </w:tcBorders>
            <w:vAlign w:val="center"/>
          </w:tcPr>
          <w:p w14:paraId="261B5BA7">
            <w:pPr>
              <w:keepNext w:val="0"/>
              <w:keepLines w:val="0"/>
              <w:suppressLineNumbers w:val="0"/>
              <w:spacing w:before="0" w:beforeAutospacing="0" w:after="0" w:afterAutospacing="0" w:line="360" w:lineRule="auto"/>
              <w:ind w:left="0" w:right="0"/>
              <w:rPr>
                <w:rFonts w:hint="eastAsia" w:ascii="Times New Roman" w:hAnsi="Times New Roman" w:eastAsia="宋体"/>
                <w:b/>
                <w:color w:val="C00000"/>
                <w:sz w:val="24"/>
                <w:szCs w:val="24"/>
                <w:lang w:eastAsia="zh-CN"/>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标题</w:t>
            </w:r>
            <w:r>
              <w:rPr>
                <w:rFonts w:hint="eastAsia" w:ascii="Times New Roman" w:hAnsi="Times New Roman" w:eastAsia="宋体"/>
                <w:b/>
                <w:color w:val="C00000"/>
                <w:sz w:val="24"/>
                <w:szCs w:val="24"/>
              </w:rPr>
              <w:t>】</w:t>
            </w:r>
            <w:r>
              <w:rPr>
                <w:rFonts w:hint="eastAsia" w:ascii="Times New Roman" w:hAnsi="Times New Roman" w:eastAsia="宋体"/>
                <w:b w:val="0"/>
                <w:bCs/>
                <w:color w:val="C00000"/>
                <w:sz w:val="24"/>
                <w:szCs w:val="24"/>
                <w:lang w:val="en-US" w:eastAsia="zh-CN"/>
              </w:rPr>
              <w:t>网络综合布线工程的验收</w:t>
            </w:r>
          </w:p>
          <w:p w14:paraId="2A5622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任务导入</w:t>
            </w:r>
          </w:p>
          <w:p w14:paraId="05885E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超算科技江北分公司准备搬迁到新的办公大楼，新的办公大楼是长期租用的一栋办公楼，建楼时没有网络布线，现在已经根据部门业务需求以及办公室布局进行了网络综合布线。</w:t>
            </w:r>
          </w:p>
          <w:p w14:paraId="28E38B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分公司孙总负责网络综合布线工程项目的实施，要求完成超算科技江北分公司新的办公大楼网络综合布线工程的验收。</w:t>
            </w:r>
          </w:p>
          <w:p w14:paraId="02B470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bCs w:val="0"/>
                <w:color w:val="000000" w:themeColor="text1"/>
                <w:sz w:val="24"/>
                <w:szCs w:val="24"/>
                <w:lang w:eastAsia="zh-CN"/>
                <w14:textFill>
                  <w14:solidFill>
                    <w14:schemeClr w14:val="tx1"/>
                  </w14:solidFill>
                </w14:textFill>
              </w:rPr>
            </w:pPr>
            <w:r>
              <w:rPr>
                <w:rFonts w:hint="eastAsia" w:ascii="Times New Roman" w:hAnsi="Times New Roman" w:eastAsia="宋体"/>
                <w:b/>
                <w:bCs w:val="0"/>
                <w:color w:val="000000" w:themeColor="text1"/>
                <w:sz w:val="24"/>
                <w:szCs w:val="24"/>
                <w:lang w:eastAsia="zh-CN"/>
                <w14:textFill>
                  <w14:solidFill>
                    <w14:schemeClr w14:val="tx1"/>
                  </w14:solidFill>
                </w14:textFill>
              </w:rPr>
              <w:t>任务目标</w:t>
            </w:r>
          </w:p>
          <w:p w14:paraId="5CAFBF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1. 能理解网络综合布线系统工程验收的依据和原则。</w:t>
            </w:r>
          </w:p>
          <w:p w14:paraId="1ADCDF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val="0"/>
                <w:bCs/>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2. 能掌握现场物理验收的内容。</w:t>
            </w:r>
          </w:p>
          <w:p w14:paraId="4ED22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b/>
                <w:color w:val="000000" w:themeColor="text1"/>
                <w:sz w:val="24"/>
                <w:szCs w:val="24"/>
                <w:lang w:eastAsia="zh-CN"/>
                <w14:textFill>
                  <w14:solidFill>
                    <w14:schemeClr w14:val="tx1"/>
                  </w14:solidFill>
                </w14:textFill>
              </w:rPr>
            </w:pPr>
            <w:r>
              <w:rPr>
                <w:rFonts w:hint="eastAsia" w:ascii="Times New Roman" w:hAnsi="Times New Roman" w:eastAsia="宋体"/>
                <w:b w:val="0"/>
                <w:bCs/>
                <w:color w:val="000000" w:themeColor="text1"/>
                <w:sz w:val="24"/>
                <w:szCs w:val="24"/>
                <w:lang w:eastAsia="zh-CN"/>
                <w14:textFill>
                  <w14:solidFill>
                    <w14:schemeClr w14:val="tx1"/>
                  </w14:solidFill>
                </w14:textFill>
              </w:rPr>
              <w:t>3. 能通过强调质量意识，引导学生树立严谨的工作态度和责任心。</w:t>
            </w:r>
            <w:r>
              <w:rPr>
                <w:rFonts w:hint="eastAsia" w:ascii="Times New Roman" w:hAnsi="Times New Roman" w:eastAsia="宋体"/>
                <w:b/>
                <w:color w:val="000000" w:themeColor="text1"/>
                <w:sz w:val="24"/>
                <w:szCs w:val="24"/>
                <w:lang w:eastAsia="zh-CN"/>
                <w14:textFill>
                  <w14:solidFill>
                    <w14:schemeClr w14:val="tx1"/>
                  </w14:solidFill>
                </w14:textFill>
              </w:rPr>
              <w:t xml:space="preserve"> </w:t>
            </w:r>
          </w:p>
          <w:p w14:paraId="070FB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b/>
                <w:bCs w:val="0"/>
                <w:color w:val="000000" w:themeColor="text1"/>
                <w:sz w:val="24"/>
                <w:szCs w:val="24"/>
                <w:lang w:val="en-US" w:eastAsia="zh-CN"/>
                <w14:textFill>
                  <w14:solidFill>
                    <w14:schemeClr w14:val="tx1"/>
                  </w14:solidFill>
                </w14:textFill>
              </w:rPr>
            </w:pPr>
            <w:r>
              <w:rPr>
                <w:rFonts w:hint="eastAsia" w:ascii="Times New Roman" w:hAnsi="Times New Roman" w:eastAsia="宋体"/>
                <w:b/>
                <w:color w:val="C00000"/>
                <w:sz w:val="24"/>
                <w:szCs w:val="24"/>
              </w:rPr>
              <w:t>【</w:t>
            </w:r>
            <w:r>
              <w:rPr>
                <w:rFonts w:hint="eastAsia" w:ascii="Times New Roman" w:hAnsi="Times New Roman" w:eastAsia="宋体"/>
                <w:b/>
                <w:color w:val="C00000"/>
                <w:sz w:val="24"/>
                <w:szCs w:val="24"/>
                <w:lang w:val="en-US" w:eastAsia="zh-CN"/>
              </w:rPr>
              <w:t>内容</w:t>
            </w:r>
            <w:r>
              <w:rPr>
                <w:rFonts w:hint="eastAsia" w:ascii="Times New Roman" w:hAnsi="Times New Roman" w:eastAsia="宋体"/>
                <w:b/>
                <w:color w:val="C00000"/>
                <w:sz w:val="24"/>
                <w:szCs w:val="24"/>
              </w:rPr>
              <w:t>】</w:t>
            </w:r>
          </w:p>
          <w:p w14:paraId="11C49C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任务分析</w:t>
            </w:r>
          </w:p>
          <w:p w14:paraId="3493A1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网络综合布线系统工程的验收是确保布线系统质量、性能和安全性的重要环节。验收工作应全面覆盖布线系统的各个方面，从材料、设备到施工质量和性能指标，都应进行严格的检查与测试。这里以图 6 -5 所示的办公楼三层为例来进行验收。</w:t>
            </w:r>
          </w:p>
          <w:p w14:paraId="3E6F4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3497580" cy="2284095"/>
                  <wp:effectExtent l="0" t="0" r="7620" b="190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8"/>
                          <a:stretch>
                            <a:fillRect/>
                          </a:stretch>
                        </pic:blipFill>
                        <pic:spPr>
                          <a:xfrm>
                            <a:off x="0" y="0"/>
                            <a:ext cx="3497580" cy="2284095"/>
                          </a:xfrm>
                          <a:prstGeom prst="rect">
                            <a:avLst/>
                          </a:prstGeom>
                          <a:noFill/>
                          <a:ln>
                            <a:noFill/>
                          </a:ln>
                        </pic:spPr>
                      </pic:pic>
                    </a:graphicData>
                  </a:graphic>
                </wp:inline>
              </w:drawing>
            </w:r>
          </w:p>
          <w:p w14:paraId="6E46F0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验收工作应从布线系统的材料和设备开始。检查所有的线缆、连接器、配线架等是否符合设计要求和相关标准，确保无损坏、无次品。同时，对设备的型号、规格和数量进行核对，确保与合同和设计方案一致。</w:t>
            </w:r>
          </w:p>
          <w:p w14:paraId="24C36F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施工质量的检查是验收的重点。验收人员应对布线系统的安装工艺、布线走向、标识标签等进行全面检查。</w:t>
            </w:r>
          </w:p>
          <w:p w14:paraId="1F238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线缆布放的施工规范也是验收的重要内容。验收人员应对线缆的规格、路由、标号、拐弯处等进行检查，确保线缆布放自然平直，不得产生扭绞、打圈、接头等现象，不应受外力的挤压和损伤。</w:t>
            </w:r>
          </w:p>
          <w:p w14:paraId="4515B6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性能指标的测试是验收的关键环节。验收人员应对布线系统的电气性能、网络性能等进行全面测试，确保各项指标均达到设计要求和相关标准。</w:t>
            </w:r>
          </w:p>
          <w:p w14:paraId="1F88BE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任务实施</w:t>
            </w:r>
          </w:p>
          <w:p w14:paraId="7C6D5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1. 系统设计</w:t>
            </w:r>
          </w:p>
          <w:p w14:paraId="692B63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（1）根据公司要求，楼层总共设置 26 个信息点，其中数据点 13 个，语音点 13 个，安装信息插座 13 个。信息插座模块和水平缆线均采用 6 类缆线。水平主干采用 100 mm水平桥架敷设。信息点安装墙面或隔断离地 30 cm，采用明装方式。</w:t>
            </w:r>
          </w:p>
          <w:p w14:paraId="244A79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配线间设置在 307 管理间，安装 2 个数据配线架。信息点采用机柜编号＋配线架编号＋配线架端口编号＋插座底盒编号＋房间编号进行编号。</w:t>
            </w:r>
          </w:p>
          <w:p w14:paraId="64687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（2）公司楼层综合布线系统拓扑图。</w:t>
            </w:r>
          </w:p>
          <w:p w14:paraId="514A28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（3）公司楼层信息点与管线布局图。</w:t>
            </w:r>
          </w:p>
          <w:p w14:paraId="4A1B3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2. 系统测试</w:t>
            </w:r>
          </w:p>
          <w:p w14:paraId="1F44CD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使用 Fluke 测试布线系统的信道链路和永久链路，并设计表格进行记录。</w:t>
            </w:r>
          </w:p>
          <w:p w14:paraId="067404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EC51F8"/>
                <w:sz w:val="24"/>
                <w:szCs w:val="24"/>
                <w:lang w:val="en-US" w:eastAsia="zh-CN"/>
              </w:rPr>
            </w:pPr>
            <w:r>
              <w:rPr>
                <w:rFonts w:hint="eastAsia" w:ascii="宋体" w:hAnsi="宋体" w:eastAsia="宋体" w:cs="宋体"/>
                <w:b w:val="0"/>
                <w:bCs/>
                <w:color w:val="EC51F8"/>
                <w:sz w:val="24"/>
                <w:szCs w:val="24"/>
                <w:lang w:val="en-US" w:eastAsia="zh-CN"/>
              </w:rPr>
              <w:t>3. 系统验收</w:t>
            </w:r>
          </w:p>
          <w:p w14:paraId="22935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参照中华人民共和国国家标准 GB/T 50312 - 2016《综合布线系统工程验收规范》中描述的项目和测试过程进行。</w:t>
            </w:r>
          </w:p>
          <w:p w14:paraId="27CA67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对综合布线系统进行验收，并设计表格进行记录，见表 6-7 所示。</w:t>
            </w:r>
          </w:p>
          <w:p w14:paraId="35F36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drawing>
                <wp:inline distT="0" distB="0" distL="114300" distR="114300">
                  <wp:extent cx="4101465" cy="3233420"/>
                  <wp:effectExtent l="0" t="0" r="13335" b="1778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9"/>
                          <a:stretch>
                            <a:fillRect/>
                          </a:stretch>
                        </pic:blipFill>
                        <pic:spPr>
                          <a:xfrm>
                            <a:off x="0" y="0"/>
                            <a:ext cx="4101465" cy="3233420"/>
                          </a:xfrm>
                          <a:prstGeom prst="rect">
                            <a:avLst/>
                          </a:prstGeom>
                          <a:noFill/>
                          <a:ln>
                            <a:noFill/>
                          </a:ln>
                        </pic:spPr>
                      </pic:pic>
                    </a:graphicData>
                  </a:graphic>
                </wp:inline>
              </w:drawing>
            </w:r>
          </w:p>
          <w:p w14:paraId="78A87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质量要求：验收标准合理明确、分类清晰合理、有记录、外观整洁、内容齐全、数据准确。</w:t>
            </w:r>
          </w:p>
          <w:p w14:paraId="75F6B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bCs w:val="0"/>
                <w:color w:val="000000" w:themeColor="text1"/>
                <w:sz w:val="24"/>
                <w:szCs w:val="24"/>
                <w:lang w:val="en-US" w:eastAsia="zh-CN"/>
                <w14:textFill>
                  <w14:solidFill>
                    <w14:schemeClr w14:val="tx1"/>
                  </w14:solidFill>
                </w14:textFill>
              </w:rPr>
            </w:pPr>
            <w:r>
              <w:rPr>
                <w:rFonts w:hint="eastAsia" w:ascii="宋体" w:hAnsi="宋体" w:eastAsia="宋体" w:cs="宋体"/>
                <w:b/>
                <w:bCs w:val="0"/>
                <w:color w:val="000000" w:themeColor="text1"/>
                <w:sz w:val="24"/>
                <w:szCs w:val="24"/>
                <w:lang w:val="en-US" w:eastAsia="zh-CN"/>
                <w14:textFill>
                  <w14:solidFill>
                    <w14:schemeClr w14:val="tx1"/>
                  </w14:solidFill>
                </w14:textFill>
              </w:rPr>
              <w:t>任务评价</w:t>
            </w:r>
          </w:p>
          <w:p w14:paraId="23692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宋体" w:hAnsi="宋体" w:eastAsia="宋体" w:cs="宋体"/>
                <w:b w:val="0"/>
                <w:bCs/>
                <w:color w:val="000000" w:themeColor="text1"/>
                <w:sz w:val="24"/>
                <w:szCs w:val="24"/>
                <w:lang w:val="en-US" w:eastAsia="zh-CN"/>
                <w14:textFill>
                  <w14:solidFill>
                    <w14:schemeClr w14:val="tx1"/>
                  </w14:solidFill>
                </w14:textFill>
              </w:rPr>
            </w:pPr>
            <w:r>
              <w:rPr>
                <w:rFonts w:hint="eastAsia" w:ascii="宋体" w:hAnsi="宋体" w:eastAsia="宋体" w:cs="宋体"/>
                <w:b w:val="0"/>
                <w:bCs/>
                <w:color w:val="000000" w:themeColor="text1"/>
                <w:sz w:val="24"/>
                <w:szCs w:val="24"/>
                <w:lang w:val="en-US" w:eastAsia="zh-CN"/>
                <w14:textFill>
                  <w14:solidFill>
                    <w14:schemeClr w14:val="tx1"/>
                  </w14:solidFill>
                </w14:textFill>
              </w:rPr>
              <w:t>按照表 6 -8 的内容进行自我评价和小组内相互评价，教师根据实践报告认真填写评价及指导建议。</w:t>
            </w:r>
          </w:p>
          <w:p w14:paraId="1C579E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eastAsia="宋体"/>
              </w:rPr>
            </w:pPr>
            <w:r>
              <w:drawing>
                <wp:inline distT="0" distB="0" distL="114300" distR="114300">
                  <wp:extent cx="4803775" cy="1231900"/>
                  <wp:effectExtent l="0" t="0" r="22225" b="1270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10"/>
                          <a:stretch>
                            <a:fillRect/>
                          </a:stretch>
                        </pic:blipFill>
                        <pic:spPr>
                          <a:xfrm>
                            <a:off x="0" y="0"/>
                            <a:ext cx="4803775" cy="1231900"/>
                          </a:xfrm>
                          <a:prstGeom prst="rect">
                            <a:avLst/>
                          </a:prstGeom>
                          <a:noFill/>
                          <a:ln>
                            <a:noFill/>
                          </a:ln>
                        </pic:spPr>
                      </pic:pic>
                    </a:graphicData>
                  </a:graphic>
                </wp:inline>
              </w:drawing>
            </w:r>
          </w:p>
          <w:p w14:paraId="39B06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知识链接</w:t>
            </w:r>
          </w:p>
          <w:p w14:paraId="72A7AF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现场物理验收</w:t>
            </w:r>
          </w:p>
          <w:p w14:paraId="09FC79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现场物理验收需要双方的工程技术人员成立验收小组，主要对工作区子系统、水平子系统、垂直子系统以及设备间、管理间的缆线布放情况进行检查验收。</w:t>
            </w:r>
          </w:p>
          <w:p w14:paraId="0566C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（1）工作区子系统验收。线槽走向、布线是否美观大方，符合规范；信息插座是否按规范进行安装。信息插座安装是否做到一样高、平、牢固；信息面板是否都固定牢靠；标志是否齐全。</w:t>
            </w:r>
          </w:p>
          <w:p w14:paraId="1DFC45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（2）配线子系统验收。线槽安装是否符合规范；槽与槽、槽与槽盖是否接合良好；托架、吊杆是否安装牢靠；水平干线与垂直干线、工作区交接处是否出现裸线；水平干线槽内的缆线有没有固定。</w:t>
            </w:r>
          </w:p>
          <w:p w14:paraId="4030EB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（3）干线子系统验收。</w:t>
            </w:r>
          </w:p>
          <w:p w14:paraId="37AA3F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干线子系统的验收内容类似于配线子系统的验收，另外还要检查楼层与楼层之间的洞口是否封闭，缆线是否按间隔要求固定，拐弯缆线是否留有弧度。</w:t>
            </w:r>
          </w:p>
          <w:p w14:paraId="099196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（4）管理间、设备间子系统验收。检查机柜安装的位置是否正确；规定、型号、外观是否符合要求；跳线制作是否规范，配线面板的接线是否美观整洁。</w:t>
            </w:r>
          </w:p>
          <w:p w14:paraId="36FD03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设备安装验收</w:t>
            </w:r>
          </w:p>
          <w:p w14:paraId="2E2678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网络综合布线系统设备安装主要涉及机柜的安装、配线架的安装和信息模块的安装等。</w:t>
            </w:r>
          </w:p>
          <w:p w14:paraId="54C271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机柜、配线架的安装要求。在配线间或设备间内通常都安放有机柜或机架，机柜内主要包括基本柜架、内部支撑系统、布线系统、通风系统。根据实际需要可在其内部安装一些网络设备。配线架安装在机柜中的适当位置，一般为交换机、路由器的上方或下方，其作用是水平缆线首先连入配线架模块 , 然后再通过跳线接入交换机。对于干线系统的光纤要先连接到光纤配线架，再通过光纤跳线连接到交换机的光纤模块接口。</w:t>
            </w:r>
          </w:p>
          <w:p w14:paraId="1F25DE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机柜和配线架的验收：在安装机柜时要检查机柜安装的位置是否正确，规格、型号、外观是否符合要求；机柜内的网络设备安装是否有序、合理；跳线制作是否规范，配线面板的界限是否美观、整洁；线序是否合理、清楚，标识是否清晰、明了。</w:t>
            </w:r>
          </w:p>
          <w:p w14:paraId="2C671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（2）信息模块的安装。工作区的信息插座包括面板、模块、底盒，其安放的位置应当是用户认为使用最方便的位置，一般安放在距离墙角 0.3 m 左右，也可以安放在办公桌的相应位置。专用的信息插座模块可以安装在地板上或是大厅、广场的某一位置。信息模块的验收：信息插座安装的位置是否规范；信息插座、盖安装是否平、直；信息插座、盖是否用螺钉拧紧；标志是否齐全。</w:t>
            </w:r>
          </w:p>
          <w:p w14:paraId="31E5E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缆线的安装与布放的检查验收</w:t>
            </w:r>
          </w:p>
          <w:p w14:paraId="459D88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（1）缆线和桥架的安装要求。位置是否符合设计要求；安装是否符合要求；接地是否正确。</w:t>
            </w:r>
          </w:p>
          <w:p w14:paraId="7DE53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（2）线槽的安装要求。桥架及线槽的安装位置应符合施工图规定，左右偏差不应超过 50 mm；桥架及线槽水平度每米偏差不应超过 2 mm；垂直桥架及线槽应与地面保持垂直，并且无倾斜现象，垂直度偏差不应超过 3 mm；线槽截断处及两线槽拼接处应平滑、无毛刺；吊架和支架安装应保持垂直，整齐牢固，无歪</w:t>
            </w:r>
          </w:p>
          <w:p w14:paraId="7BC653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eastAsia="宋体"/>
                <w:sz w:val="24"/>
                <w:szCs w:val="24"/>
                <w:lang w:val="en-US" w:eastAsia="zh-CN"/>
              </w:rPr>
            </w:pPr>
          </w:p>
          <w:p w14:paraId="4C125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textAlignment w:val="auto"/>
              <w:rPr>
                <w:rFonts w:hint="eastAsia" w:eastAsia="宋体"/>
                <w:sz w:val="24"/>
                <w:szCs w:val="24"/>
                <w:lang w:val="en-US" w:eastAsia="zh-CN"/>
              </w:rPr>
            </w:pPr>
            <w:r>
              <w:rPr>
                <w:rFonts w:hint="eastAsia" w:eastAsia="宋体"/>
                <w:sz w:val="24"/>
                <w:szCs w:val="24"/>
                <w:lang w:val="en-US" w:eastAsia="zh-CN"/>
              </w:rPr>
              <w:t>斜现象；金属桥架及线槽节与节间应接触良好，安装牢固。</w:t>
            </w:r>
          </w:p>
          <w:p w14:paraId="2B385A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缆线布放。缆线规格、路由是否符合设计要求；缆线两端的标号是否正确，是否贴有标签，标签书写应清晰，标签应使用不易损坏的材质；缆线拐弯处是否符合规范；竖井的线槽、线固定是否牢靠；是否存在裸线。</w:t>
            </w:r>
          </w:p>
          <w:p w14:paraId="40D6AF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4. 室外光缆布线</w:t>
            </w:r>
          </w:p>
          <w:p w14:paraId="73ECE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（1）架空布线。架设竖杆位置是否正确；吊线规格、垂度、高度是否符合要求；卡挂钩的间隔是否符合要求。</w:t>
            </w:r>
          </w:p>
          <w:p w14:paraId="639498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（2）管道布线。管孔规格、管孔位置是否正确；缆线规格；缆线走向路由；防护设施。</w:t>
            </w:r>
          </w:p>
          <w:p w14:paraId="1DCB23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（3）直埋布线。光缆规格是否符合要求；敷设位置和深度；是否设置了防护铁管；回填时复原与夯实。</w:t>
            </w:r>
          </w:p>
          <w:p w14:paraId="0DC348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（4）隧道缆线布线。光缆规格是否符合要求；位置、路由是否合理；设计是否符合规范。</w:t>
            </w:r>
          </w:p>
          <w:p w14:paraId="79C9B3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5. 验收文档编制</w:t>
            </w:r>
          </w:p>
          <w:p w14:paraId="30C4B5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文档验收主要是检查乙方是否按协议或合同规定的要求，交付所需要的文档。综合布线系统工程的竣工技术资料文件要保证质量，做到外观整洁、内容齐全、数据准确，主要包括以下内容。</w:t>
            </w:r>
          </w:p>
          <w:p w14:paraId="21AFC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（1）综合布线系统工程的主要安装工程量，如主干布线的缆线规格和长度、装设楼层配线架的规格和数量等。</w:t>
            </w:r>
          </w:p>
          <w:p w14:paraId="27858B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（2）在安装施工中，一些重要部位或关键段落的施工说明，如建筑群配线架和建筑物配线架合用时，它们连接端子的分区和容量等。</w:t>
            </w:r>
          </w:p>
          <w:p w14:paraId="5C238D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（3）设备、机架和主要部件的数量明细表，即将整个工程中所用的设备、机架和主要部件分别统计，清晰地列出其型号、规格、程式和数量。</w:t>
            </w:r>
          </w:p>
          <w:p w14:paraId="3E613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（4）综合布线系统工程中各项技术指标和技术要求的测试记录，如缆线的主要电气性能、光缆的光学传输特性等测试数据。</w:t>
            </w:r>
          </w:p>
          <w:p w14:paraId="172441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（5）综合布线系统工程中如采用计算机辅助设计，应提供程序设计说明和有关数据，以及操作说明、用户手册等文件资料。</w:t>
            </w:r>
          </w:p>
          <w:p w14:paraId="2A29A9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（6）直埋电缆或地下电缆管道等隐蔽工程经工程监理人员认可的签证，以及设备安装和缆线敷设工序告一段落时，经常驻工地代表或工程监理人员随工检查后的证明等原始记录。</w:t>
            </w:r>
          </w:p>
          <w:p w14:paraId="5A91E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（7）在施工过程中，由于各种客观因素，部分变更或修改原有设计或采取相关技术措施时，应提供建设、设计和施工等单位之间对于这些变动情况的协商记录，以及在施工中的检查记录等基础资料。</w:t>
            </w:r>
          </w:p>
          <w:p w14:paraId="3C1C12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b/>
                <w:bCs/>
                <w:sz w:val="24"/>
                <w:szCs w:val="24"/>
                <w:lang w:val="en-US" w:eastAsia="zh-CN"/>
              </w:rPr>
            </w:pPr>
            <w:r>
              <w:rPr>
                <w:rFonts w:hint="eastAsia" w:eastAsia="宋体"/>
                <w:b/>
                <w:bCs/>
                <w:sz w:val="24"/>
                <w:szCs w:val="24"/>
                <w:lang w:val="en-US" w:eastAsia="zh-CN"/>
              </w:rPr>
              <w:t>知识拓展</w:t>
            </w:r>
          </w:p>
          <w:p w14:paraId="58686B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1. 竣工文档移交</w:t>
            </w:r>
          </w:p>
          <w:p w14:paraId="0A5FA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文档的移交既是每一个工程最重要又是容易被忽视的细节，设计科学而完备的文档不仅可以为用户提供帮助，更重要的是为集成商和施工方吸取经验和总结教训提供了可能。工程竣工后，施工方应在工程验收以前，将工程竣工技术资料交给建设方。竣工技术文件要保证质量，应做到外观整洁、内容齐全、数据准确。</w:t>
            </w:r>
          </w:p>
          <w:p w14:paraId="156C79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2. 竣工技术资料的内容</w:t>
            </w:r>
          </w:p>
          <w:p w14:paraId="003AA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网络综合布线系统工程的竣工技术资料应包括以下内容：安装工程量；工程说明；设备、器材明细表；竣工图纸；测试记录；工程变更、检查记录及施工过程中如若需要更改设计或采取的相关措施，建设、设计、施工等单位之间的双方治谈记录；随工验收记录；工程决算。</w:t>
            </w:r>
          </w:p>
          <w:p w14:paraId="59364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color w:val="EC51F8"/>
                <w:sz w:val="24"/>
                <w:szCs w:val="24"/>
                <w:lang w:val="en-US" w:eastAsia="zh-CN"/>
              </w:rPr>
            </w:pPr>
            <w:r>
              <w:rPr>
                <w:rFonts w:hint="eastAsia" w:eastAsia="宋体"/>
                <w:color w:val="EC51F8"/>
                <w:sz w:val="24"/>
                <w:szCs w:val="24"/>
                <w:lang w:val="en-US" w:eastAsia="zh-CN"/>
              </w:rPr>
              <w:t>3. 竣工技术资料的要求</w:t>
            </w:r>
          </w:p>
          <w:p w14:paraId="3ED2FD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网络综合布线系统工程竣工验收技术文件和相关资料应符合以下要求。</w:t>
            </w:r>
          </w:p>
          <w:p w14:paraId="52D720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（1）竣工验收的技术文件中的说明和图样，必须配套并完整无缺，文件外观整洁，文件应有编号，以利登记归档。</w:t>
            </w:r>
          </w:p>
          <w:p w14:paraId="2B137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（2）竣工验收技术文件最少一式三份，如有多个单位需要或建设单位要求增多份数时，则可以按需要增加文件份数，以满足各方要求。</w:t>
            </w:r>
          </w:p>
          <w:p w14:paraId="51EC5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（3）文件内容和质量要求必须保证。应做到内容完整齐全无漏、图样数据准确无误、文字图表清晰明确、叙述表达条理清楚，不应有相互矛盾、彼此脱节、图文不清和错误遗漏等问题。</w:t>
            </w:r>
          </w:p>
          <w:p w14:paraId="674DB3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eastAsia="宋体"/>
                <w:sz w:val="24"/>
                <w:szCs w:val="24"/>
                <w:lang w:val="en-US" w:eastAsia="zh-CN"/>
              </w:rPr>
            </w:pPr>
            <w:r>
              <w:rPr>
                <w:rFonts w:hint="eastAsia" w:eastAsia="宋体"/>
                <w:sz w:val="24"/>
                <w:szCs w:val="24"/>
                <w:lang w:val="en-US" w:eastAsia="zh-CN"/>
              </w:rPr>
              <w:t xml:space="preserve">（4）技术文件的页数和其排序以及图样编号等，要与目录对应，并且有条理，做到查阅简便，有利于查考，文件和图样应装订成册，取用方便。 </w:t>
            </w:r>
          </w:p>
          <w:p w14:paraId="04F13EC7">
            <w:pPr>
              <w:keepNext w:val="0"/>
              <w:keepLines w:val="0"/>
              <w:widowControl w:val="0"/>
              <w:suppressLineNumbers w:val="0"/>
              <w:autoSpaceDE w:val="0"/>
              <w:autoSpaceDN/>
              <w:spacing w:before="0" w:beforeAutospacing="0" w:after="0" w:afterAutospacing="0" w:line="360" w:lineRule="auto"/>
              <w:ind w:left="0" w:right="0"/>
              <w:jc w:val="left"/>
              <w:rPr>
                <w:rFonts w:hint="default"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思考、讨论上述内容。</w:t>
            </w:r>
          </w:p>
        </w:tc>
      </w:tr>
      <w:tr w14:paraId="2785525C">
        <w:trPr>
          <w:trHeight w:val="680" w:hRule="atLeast"/>
          <w:jc w:val="center"/>
        </w:trPr>
        <w:tc>
          <w:tcPr>
            <w:tcW w:w="1541" w:type="dxa"/>
            <w:tcBorders>
              <w:tl2br w:val="nil"/>
              <w:tr2bl w:val="nil"/>
            </w:tcBorders>
            <w:shd w:val="clear" w:color="auto" w:fill="D7F8FF"/>
            <w:vAlign w:val="center"/>
          </w:tcPr>
          <w:p w14:paraId="073E0EEA">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34A8ABDD">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017394C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349A131F">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1555EDE8">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微软雅黑"/>
                <w:b/>
                <w:bCs w:val="0"/>
                <w:kern w:val="2"/>
                <w:sz w:val="24"/>
                <w:szCs w:val="24"/>
                <w:lang w:val="en-US" w:eastAsia="zh-CN" w:bidi="ar"/>
              </w:rPr>
            </w:pPr>
          </w:p>
          <w:p w14:paraId="13D9220C">
            <w:pPr>
              <w:keepNext w:val="0"/>
              <w:keepLines w:val="0"/>
              <w:widowControl w:val="0"/>
              <w:suppressLineNumbers w:val="0"/>
              <w:spacing w:before="0" w:beforeAutospacing="0" w:after="0" w:afterAutospacing="0" w:line="24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1150607">
            <w:pPr>
              <w:keepNext w:val="0"/>
              <w:keepLines w:val="0"/>
              <w:widowControl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eastAsia="宋体"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8664" w:type="dxa"/>
            <w:tcBorders>
              <w:tl2br w:val="nil"/>
              <w:tr2bl w:val="nil"/>
            </w:tcBorders>
            <w:vAlign w:val="center"/>
          </w:tcPr>
          <w:p w14:paraId="5BF38ED2">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Theme="minorEastAsia" w:hAnsiTheme="minorEastAsia" w:eastAsiaTheme="minorEastAsia" w:cstheme="minorEastAsia"/>
                <w:b w:val="0"/>
                <w:bCs/>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在本节课中，我们系统地学习了网络综合布线工程验收的基础知识，从网络综合布线工程验收的定义（检验布线工程是否符合设计标准、满足使用需求的关键环节）到其具体分类方式（按验收内容分为文档验收、链路性能验收、设备安</w:t>
            </w:r>
          </w:p>
          <w:p w14:paraId="15287390">
            <w:pPr>
              <w:keepNext w:val="0"/>
              <w:keepLines w:val="0"/>
              <w:widowControl w:val="0"/>
              <w:suppressLineNumbers w:val="0"/>
              <w:spacing w:before="0" w:beforeAutospacing="0" w:after="0" w:afterAutospacing="0" w:line="360" w:lineRule="auto"/>
              <w:ind w:right="0" w:rightChars="0"/>
              <w:jc w:val="both"/>
              <w:rPr>
                <w:rFonts w:hint="eastAsia" w:asciiTheme="minorEastAsia" w:hAnsiTheme="minorEastAsia" w:eastAsiaTheme="minorEastAsia" w:cstheme="minorEastAsia"/>
                <w:b w:val="0"/>
                <w:bCs/>
                <w:kern w:val="2"/>
                <w:sz w:val="24"/>
                <w:szCs w:val="24"/>
                <w:lang w:val="en-US" w:eastAsia="zh-CN" w:bidi="ar-SA"/>
              </w:rPr>
            </w:pPr>
          </w:p>
          <w:p w14:paraId="6910DF38">
            <w:pPr>
              <w:keepNext w:val="0"/>
              <w:keepLines w:val="0"/>
              <w:widowControl w:val="0"/>
              <w:suppressLineNumbers w:val="0"/>
              <w:spacing w:before="0" w:beforeAutospacing="0" w:after="0" w:afterAutospacing="0" w:line="360" w:lineRule="auto"/>
              <w:ind w:right="0" w:rightChars="0"/>
              <w:jc w:val="both"/>
              <w:rPr>
                <w:rFonts w:hint="eastAsia" w:ascii="Times New Roman" w:hAnsi="Times New Roman" w:eastAsia="宋体" w:cs="Times New Roman"/>
                <w:b/>
                <w:bCs w:val="0"/>
                <w:kern w:val="2"/>
                <w:sz w:val="24"/>
                <w:szCs w:val="24"/>
                <w:lang w:val="en-US" w:eastAsia="zh-CN" w:bidi="ar-SA"/>
              </w:rPr>
            </w:pPr>
            <w:r>
              <w:rPr>
                <w:rFonts w:hint="eastAsia" w:asciiTheme="minorEastAsia" w:hAnsiTheme="minorEastAsia" w:eastAsiaTheme="minorEastAsia" w:cstheme="minorEastAsia"/>
                <w:b w:val="0"/>
                <w:bCs/>
                <w:kern w:val="2"/>
                <w:sz w:val="24"/>
                <w:szCs w:val="24"/>
                <w:lang w:val="en-US" w:eastAsia="zh-CN" w:bidi="ar-SA"/>
              </w:rPr>
              <w:t>装验收，按验收阶段分为中期验收、竣工验收），通过理论讲解和实践活动相结合的方式，帮助同学们建立起对布线验收工作的基本认知框架。实践环节中，同学们通过模拟真实项目验收场景，核对工程文档、使用专业工具复现链路测试，将抽象的验收理论知识具象化，加深了对验收流程、问题判定及整改建议的理解。最后的讨论环节激发了同学们的思考，大家积极分享了在复杂布线环境中高效开展验收工作的见解。整节课注重理论与实践的结合，为后续学习网络综合布线工程运维与优化奠定了坚实基础，希望同学们课后能够结合实际布线验收案例，分析验收中发现的问题及解决方案，巩固所学知识。</w:t>
            </w:r>
          </w:p>
        </w:tc>
      </w:tr>
      <w:tr w14:paraId="2770134D">
        <w:trPr>
          <w:trHeight w:val="680" w:hRule="atLeast"/>
          <w:jc w:val="center"/>
        </w:trPr>
        <w:tc>
          <w:tcPr>
            <w:tcW w:w="1541" w:type="dxa"/>
            <w:tcBorders>
              <w:tl2br w:val="nil"/>
              <w:tr2bl w:val="nil"/>
            </w:tcBorders>
            <w:shd w:val="clear" w:color="auto" w:fill="D7F8FF"/>
            <w:vAlign w:val="center"/>
          </w:tcPr>
          <w:p w14:paraId="5F6D6E7D">
            <w:pPr>
              <w:keepNext w:val="0"/>
              <w:keepLines w:val="0"/>
              <w:widowControl w:val="0"/>
              <w:suppressLineNumbers w:val="0"/>
              <w:spacing w:before="0" w:beforeAutospacing="0" w:after="0" w:afterAutospacing="0" w:line="24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eastAsia="宋体"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8664" w:type="dxa"/>
            <w:tcBorders>
              <w:tl2br w:val="nil"/>
              <w:tr2bl w:val="nil"/>
            </w:tcBorders>
            <w:vAlign w:val="center"/>
          </w:tcPr>
          <w:p w14:paraId="62D77BD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7A79F0BF">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kern w:val="2"/>
                <w:sz w:val="24"/>
                <w:szCs w:val="24"/>
                <w:lang w:val="en-US" w:eastAsia="zh-CN" w:bidi="ar-SA"/>
              </w:rPr>
            </w:pPr>
            <w:r>
              <w:rPr>
                <w:rFonts w:hint="eastAsia" w:ascii="Calibri" w:hAnsi="宋体" w:eastAsia="宋体" w:cs="Times New Roman"/>
                <w:bCs/>
                <w:kern w:val="2"/>
                <w:sz w:val="24"/>
                <w:szCs w:val="24"/>
                <w:lang w:val="en-US" w:eastAsia="zh-CN" w:bidi="ar-SA"/>
              </w:rPr>
              <w:t>简述缆线的安装与布放的检查验收。</w:t>
            </w:r>
          </w:p>
        </w:tc>
      </w:tr>
      <w:tr w14:paraId="76F2BA67">
        <w:trPr>
          <w:trHeight w:val="680" w:hRule="atLeast"/>
          <w:jc w:val="center"/>
        </w:trPr>
        <w:tc>
          <w:tcPr>
            <w:tcW w:w="1541" w:type="dxa"/>
            <w:tcBorders>
              <w:tl2br w:val="nil"/>
              <w:tr2bl w:val="nil"/>
            </w:tcBorders>
            <w:shd w:val="clear" w:color="auto" w:fill="D7F8FF"/>
            <w:vAlign w:val="center"/>
          </w:tcPr>
          <w:p w14:paraId="36CDC963">
            <w:pPr>
              <w:keepNext w:val="0"/>
              <w:keepLines w:val="0"/>
              <w:suppressLineNumbers w:val="0"/>
              <w:spacing w:before="0" w:beforeAutospacing="0" w:after="0" w:afterAutospacing="0" w:line="24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tcBorders>
              <w:tl2br w:val="nil"/>
              <w:tr2bl w:val="nil"/>
            </w:tcBorders>
            <w:vAlign w:val="center"/>
          </w:tcPr>
          <w:p w14:paraId="5EDA384F">
            <w:pPr>
              <w:keepNext w:val="0"/>
              <w:keepLines w:val="0"/>
              <w:suppressLineNumbers w:val="0"/>
              <w:spacing w:before="0" w:beforeAutospacing="0" w:after="0" w:afterAutospacing="0" w:line="360" w:lineRule="auto"/>
              <w:ind w:left="0" w:right="0" w:firstLine="480" w:firstLineChars="200"/>
              <w:rPr>
                <w:rFonts w:hint="default" w:ascii="Times New Roman" w:hAnsi="Times New Roman"/>
                <w:sz w:val="24"/>
                <w:szCs w:val="24"/>
              </w:rPr>
            </w:pPr>
            <w:r>
              <w:rPr>
                <w:rFonts w:hint="default" w:ascii="Times New Roman" w:hAnsi="Times New Roman"/>
                <w:sz w:val="24"/>
                <w:szCs w:val="24"/>
              </w:rPr>
              <w:t>本次课程运用了多媒体课件和在线教学平台辅助教学。多媒体课件通过图文、视频等形式，使抽象的知识更加直观易懂，有效提升了教学效果。</w:t>
            </w:r>
          </w:p>
        </w:tc>
      </w:tr>
    </w:tbl>
    <w:p w14:paraId="4B35342E"/>
    <w:sectPr>
      <w:headerReference r:id="rId4" w:type="first"/>
      <w:headerReference r:id="rId3" w:type="default"/>
      <w:pgSz w:w="11906" w:h="16838"/>
      <w:pgMar w:top="0" w:right="170" w:bottom="170" w:left="170" w:header="567" w:footer="567" w:gutter="0"/>
      <w:pgBorders>
        <w:top w:val="none" w:sz="0" w:space="0"/>
        <w:left w:val="none" w:sz="0" w:space="0"/>
        <w:bottom w:val="none" w:sz="0" w:space="0"/>
        <w:right w:val="none" w:sz="0" w:space="0"/>
      </w:pgBorders>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altName w:val="汉仪书宋二KW"/>
    <w:panose1 w:val="03000509000000000000"/>
    <w:charset w:val="86"/>
    <w:family w:val="script"/>
    <w:pitch w:val="default"/>
    <w:sig w:usb0="00000000" w:usb1="0000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0" w:csb1="00000000"/>
  </w:font>
  <w:font w:name="微软简老宋">
    <w:altName w:val="汉仪书宋二KW"/>
    <w:panose1 w:val="00000000000000000000"/>
    <w:charset w:val="00"/>
    <w:family w:val="auto"/>
    <w:pitch w:val="default"/>
    <w:sig w:usb0="00000000" w:usb1="00000000" w:usb2="00000000" w:usb3="00000000" w:csb0="00000000" w:csb1="0000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8CD2F9">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-114935</wp:posOffset>
          </wp:positionH>
          <wp:positionV relativeFrom="paragraph">
            <wp:posOffset>-348615</wp:posOffset>
          </wp:positionV>
          <wp:extent cx="7559040" cy="10692130"/>
          <wp:effectExtent l="0" t="0" r="3810" b="13970"/>
          <wp:wrapNone/>
          <wp:docPr id="2" name="图片 2" descr="计算机专业-背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计算机专业-背景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6B42B">
    <w:pPr>
      <w:pStyle w:val="8"/>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-116840</wp:posOffset>
          </wp:positionH>
          <wp:positionV relativeFrom="paragraph">
            <wp:posOffset>-361315</wp:posOffset>
          </wp:positionV>
          <wp:extent cx="7559040" cy="10692130"/>
          <wp:effectExtent l="0" t="0" r="3810" b="13970"/>
          <wp:wrapNone/>
          <wp:docPr id="1" name="图片 1" descr="计算机专业-封面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计算机专业-封面一"/>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E3MGMyZDMzOGIyMGUyMDk5Mjg3MWUzODcxN2RkNTQ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4660F"/>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13B4151"/>
    <w:rsid w:val="0AC91BFE"/>
    <w:rsid w:val="0C564EF8"/>
    <w:rsid w:val="1024135F"/>
    <w:rsid w:val="1D9F0309"/>
    <w:rsid w:val="28B578A7"/>
    <w:rsid w:val="28F17E5A"/>
    <w:rsid w:val="2D685016"/>
    <w:rsid w:val="3588054D"/>
    <w:rsid w:val="3ACE70D0"/>
    <w:rsid w:val="436C72A2"/>
    <w:rsid w:val="43CD7F64"/>
    <w:rsid w:val="44B33A23"/>
    <w:rsid w:val="5A7C6694"/>
    <w:rsid w:val="5FB31F58"/>
    <w:rsid w:val="64692CD3"/>
    <w:rsid w:val="656A03F5"/>
    <w:rsid w:val="6C112003"/>
    <w:rsid w:val="6FF766CD"/>
    <w:rsid w:val="74063750"/>
    <w:rsid w:val="76F7516B"/>
    <w:rsid w:val="79E30EE8"/>
    <w:rsid w:val="7BA21EBB"/>
    <w:rsid w:val="7E1F5A45"/>
    <w:rsid w:val="9A65FD1D"/>
    <w:rsid w:val="E3B73197"/>
    <w:rsid w:val="F6F16D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32"/>
    <w:unhideWhenUsed/>
    <w:qFormat/>
    <w:uiPriority w:val="9"/>
    <w:pPr>
      <w:keepNext/>
      <w:keepLines/>
      <w:spacing w:before="260" w:after="260" w:line="416" w:lineRule="auto"/>
      <w:outlineLvl w:val="2"/>
    </w:pPr>
    <w:rPr>
      <w:b/>
      <w:bCs/>
      <w:sz w:val="32"/>
      <w:szCs w:val="32"/>
    </w:rPr>
  </w:style>
  <w:style w:type="paragraph" w:styleId="3">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4">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5">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caption"/>
    <w:basedOn w:val="1"/>
    <w:next w:val="1"/>
    <w:link w:val="30"/>
    <w:unhideWhenUsed/>
    <w:qFormat/>
    <w:uiPriority w:val="0"/>
    <w:rPr>
      <w:rFonts w:eastAsia="黑体" w:asciiTheme="majorHAnsi" w:hAnsiTheme="majorHAnsi" w:cstheme="majorBidi"/>
      <w:sz w:val="20"/>
      <w:szCs w:val="20"/>
    </w:rPr>
  </w:style>
  <w:style w:type="paragraph" w:styleId="7">
    <w:name w:val="footer"/>
    <w:basedOn w:val="1"/>
    <w:link w:val="21"/>
    <w:unhideWhenUsed/>
    <w:qFormat/>
    <w:uiPriority w:val="99"/>
    <w:pPr>
      <w:tabs>
        <w:tab w:val="center" w:pos="4153"/>
        <w:tab w:val="right" w:pos="8306"/>
      </w:tabs>
      <w:snapToGrid w:val="0"/>
      <w:jc w:val="left"/>
    </w:pPr>
    <w:rPr>
      <w:sz w:val="18"/>
      <w:szCs w:val="18"/>
    </w:rPr>
  </w:style>
  <w:style w:type="paragraph" w:styleId="8">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semiHidden/>
    <w:unhideWhenUsed/>
    <w:qFormat/>
    <w:uiPriority w:val="99"/>
    <w:rPr>
      <w:sz w:val="24"/>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Strong"/>
    <w:basedOn w:val="12"/>
    <w:qFormat/>
    <w:uiPriority w:val="22"/>
    <w:rPr>
      <w:b/>
    </w:rPr>
  </w:style>
  <w:style w:type="character" w:styleId="14">
    <w:name w:val="HTML Code"/>
    <w:basedOn w:val="12"/>
    <w:semiHidden/>
    <w:unhideWhenUsed/>
    <w:qFormat/>
    <w:uiPriority w:val="99"/>
    <w:rPr>
      <w:rFonts w:ascii="Courier New" w:hAnsi="Courier New"/>
      <w:sz w:val="20"/>
    </w:r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2"/>
    <w:link w:val="8"/>
    <w:qFormat/>
    <w:uiPriority w:val="99"/>
    <w:rPr>
      <w:rFonts w:ascii="Calibri" w:hAnsi="Calibri" w:eastAsia="宋体" w:cs="Times New Roman"/>
      <w:sz w:val="18"/>
      <w:szCs w:val="18"/>
    </w:rPr>
  </w:style>
  <w:style w:type="character" w:customStyle="1" w:styleId="21">
    <w:name w:val="页脚 Char"/>
    <w:basedOn w:val="12"/>
    <w:link w:val="7"/>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2"/>
    <w:link w:val="3"/>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2"/>
    <w:link w:val="4"/>
    <w:semiHidden/>
    <w:qFormat/>
    <w:uiPriority w:val="9"/>
    <w:rPr>
      <w:rFonts w:ascii="Calibri" w:hAnsi="Calibri" w:eastAsia="宋体" w:cs="Times New Roman"/>
      <w:b/>
      <w:bCs/>
      <w:sz w:val="28"/>
      <w:szCs w:val="28"/>
    </w:rPr>
  </w:style>
  <w:style w:type="character" w:customStyle="1" w:styleId="28">
    <w:name w:val="标题 6 Char"/>
    <w:basedOn w:val="12"/>
    <w:link w:val="5"/>
    <w:semiHidden/>
    <w:qFormat/>
    <w:uiPriority w:val="9"/>
    <w:rPr>
      <w:rFonts w:asciiTheme="majorHAnsi" w:hAnsiTheme="majorHAnsi" w:eastAsiaTheme="majorEastAsia" w:cstheme="majorBidi"/>
      <w:b/>
      <w:bCs/>
      <w:sz w:val="24"/>
      <w:szCs w:val="24"/>
    </w:rPr>
  </w:style>
  <w:style w:type="paragraph" w:customStyle="1" w:styleId="29">
    <w:name w:val="图片"/>
    <w:basedOn w:val="1"/>
    <w:next w:val="6"/>
    <w:link w:val="31"/>
    <w:qFormat/>
    <w:uiPriority w:val="0"/>
    <w:pPr>
      <w:spacing w:before="120"/>
      <w:jc w:val="center"/>
    </w:pPr>
    <w:rPr>
      <w:rFonts w:ascii="Times New Roman" w:hAnsi="Times New Roman"/>
      <w:szCs w:val="20"/>
    </w:rPr>
  </w:style>
  <w:style w:type="character" w:customStyle="1" w:styleId="30">
    <w:name w:val="题注 Char"/>
    <w:link w:val="6"/>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2"/>
    <w:link w:val="2"/>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29</Pages>
  <Words>5475</Words>
  <Characters>6109</Characters>
  <Lines>1</Lines>
  <Paragraphs>1</Paragraphs>
  <TotalTime>27</TotalTime>
  <ScaleCrop>false</ScaleCrop>
  <LinksUpToDate>false</LinksUpToDate>
  <CharactersWithSpaces>6368</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2021-06-10T02:03:00Z</dcterms:created>
  <dc:creator>DELL</dc:creator>
  <cp:lastModifiedBy>无谓</cp:lastModifiedBy>
  <dcterms:modified xsi:type="dcterms:W3CDTF">2025-08-28T01:21:55Z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060592A961A7585B781B9468A405C468_43</vt:lpwstr>
  </property>
  <property fmtid="{D5CDD505-2E9C-101B-9397-08002B2CF9AE}" pid="4" name="KSOTemplateDocerSaveRecord">
    <vt:lpwstr>eyJoZGlkIjoiOTcxZjc4Y2ViNTBlZDVmZTI3YTAxZGE1NWVmM2E2NDEiLCJ1c2VySWQiOiI0MDMzMDA2MzYifQ==</vt:lpwstr>
  </property>
</Properties>
</file>